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4454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right="0" w:firstLine="0" w:firstLineChars="0"/>
        <w:jc w:val="center"/>
        <w:textAlignment w:val="baseline"/>
        <w:outlineLvl w:val="0"/>
        <w:rPr>
          <w:rFonts w:hint="eastAsia" w:asciiTheme="majorEastAsia" w:hAnsiTheme="majorEastAsia" w:eastAsiaTheme="majorEastAsia" w:cstheme="majorEastAsia"/>
          <w:b/>
          <w:bCs/>
          <w:snapToGrid w:val="0"/>
          <w:color w:val="000000"/>
          <w:spacing w:val="-9"/>
          <w:w w:val="91"/>
          <w:kern w:val="0"/>
          <w:position w:val="-2"/>
          <w:sz w:val="40"/>
          <w:szCs w:val="40"/>
          <w:lang w:val="en-US" w:eastAsia="en-US" w:bidi="ar-SA"/>
        </w:rPr>
      </w:pPr>
      <w:r>
        <w:rPr>
          <w:rFonts w:hint="eastAsia" w:asciiTheme="majorEastAsia" w:hAnsiTheme="majorEastAsia" w:eastAsiaTheme="majorEastAsia" w:cstheme="majorEastAsia"/>
          <w:b/>
          <w:bCs/>
          <w:snapToGrid w:val="0"/>
          <w:color w:val="000000"/>
          <w:spacing w:val="-9"/>
          <w:w w:val="91"/>
          <w:kern w:val="0"/>
          <w:position w:val="-2"/>
          <w:sz w:val="40"/>
          <w:szCs w:val="40"/>
          <w:lang w:val="en-US" w:eastAsia="en-US" w:bidi="ar-SA"/>
        </w:rPr>
        <w:t xml:space="preserve">河北金融学院  </w:t>
      </w:r>
    </w:p>
    <w:p w14:paraId="139A494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auto"/>
        <w:ind w:left="0" w:right="0" w:firstLine="0" w:firstLineChars="0"/>
        <w:jc w:val="center"/>
        <w:textAlignment w:val="baseline"/>
        <w:outlineLvl w:val="0"/>
        <w:rPr>
          <w:b/>
          <w:color w:val="000000"/>
          <w:sz w:val="24"/>
        </w:rPr>
      </w:pPr>
      <w:r>
        <w:rPr>
          <w:rFonts w:hint="eastAsia" w:asciiTheme="majorEastAsia" w:hAnsiTheme="majorEastAsia" w:eastAsiaTheme="majorEastAsia" w:cstheme="majorEastAsia"/>
          <w:b/>
          <w:bCs/>
          <w:snapToGrid w:val="0"/>
          <w:color w:val="000000"/>
          <w:spacing w:val="-9"/>
          <w:w w:val="91"/>
          <w:kern w:val="0"/>
          <w:position w:val="-2"/>
          <w:sz w:val="40"/>
          <w:szCs w:val="40"/>
          <w:lang w:val="en-US" w:eastAsia="en-US" w:bidi="ar-SA"/>
        </w:rPr>
        <w:t xml:space="preserve">2025届CFA-ESG研修班招生简章  </w:t>
      </w:r>
    </w:p>
    <w:p w14:paraId="297C705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rPr>
          <w:rFonts w:hint="default" w:ascii="宋体" w:hAnsi="宋体" w:eastAsia="宋体" w:cs="宋体"/>
          <w:b/>
          <w:bCs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  <w:t>一、项目背景</w:t>
      </w:r>
    </w:p>
    <w:p w14:paraId="6BDBFB0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在国家"碳达峰、碳中和"战略纵深推进的背景下，2025年国务院政府工作报告明确提出"完善绿色低碳发展政策体系，加快建设新型能源体系"，并将"碳排放双控制度体系"纳入重点工作。随着沪深北交易所要求核心指数成分股及境内外双重上市公司于2026年前全面实施ESG强制披露，中国ESG发展已进入政策驱动与市场实践并行的关键阶段。</w:t>
      </w:r>
    </w:p>
    <w:p w14:paraId="552B1F7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各省市积极响应国家部署：京津冀通过跨区域绿电输送项目深化绿色金融创新协作；长三角依托绿色低碳经济培育政策，探索激励企业ESG实践的路径；粤港澳大湾区在生态环境部指导下，试点推进企业环境信息披露机制。</w:t>
      </w:r>
      <w:bookmarkStart w:id="0" w:name="_GoBack"/>
      <w:bookmarkEnd w:id="0"/>
    </w:p>
    <w:p w14:paraId="46634BF1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在此背景下，河北金融学院联合上海高顿教育集团开设"CFA-ESG研修班"，以服务国家战略需求为导向，创新新财经人才培养模式。课程深度融合中国"双碳"政策框架与CFA协会全球认证体系，重点攻克"ESG信息披露本土化实践""绿色金融工具创新""碳资产管理与交易"等实战场景，培养既懂国际标准又熟悉中国监管要求的复合型人才，助力学生在2026年强制披露政策窗口期中抢占职业先机，成为驱动企业绿色转型的核心力量。</w:t>
      </w:r>
    </w:p>
    <w:p w14:paraId="494C926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</w:pPr>
    </w:p>
    <w:p w14:paraId="74540BE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rPr>
          <w:rFonts w:hint="default" w:ascii="宋体" w:hAnsi="宋体" w:eastAsia="宋体" w:cs="宋体"/>
          <w:b/>
          <w:bCs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  <w:t>二、ESG职业前景</w:t>
      </w:r>
    </w:p>
    <w:p w14:paraId="54368C7E">
      <w:pPr>
        <w:pStyle w:val="2"/>
        <w:pageBreakBefore w:val="0"/>
        <w:widowControl/>
        <w:numPr>
          <w:ilvl w:val="0"/>
          <w:numId w:val="0"/>
        </w:numPr>
        <w:pBdr>
          <w:bottom w:val="none" w:color="auto" w:sz="0" w:space="0"/>
        </w:pBdr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ind w:leftChars="0" w:firstLine="436" w:firstLineChars="200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1.公务员招考</w:t>
      </w:r>
    </w:p>
    <w:p w14:paraId="168E944B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基于国家发改委、生态环境部、中国人民银行等部委近年发布的《气候投融资试点工作方案》《关于进一步强化金融支持绿色低碳发展的指导意见》等政策文件，以及深圳市、雄安新区等地方政府专项招聘公告，我国公务员招考中已明确将环境经济、可持续发展等专业知识纳入岗位要求，部分岗位（如气候变化应对、绿色金融相关部门）及地方试点进一步要求应聘者熟悉ESG理念，以适配“双碳”战略与绿色金融体系建设的专业化人才需求。</w:t>
      </w:r>
    </w:p>
    <w:p w14:paraId="3DB2BA20">
      <w:pPr>
        <w:pStyle w:val="2"/>
        <w:pageBreakBefore w:val="0"/>
        <w:widowControl/>
        <w:numPr>
          <w:ilvl w:val="0"/>
          <w:numId w:val="0"/>
        </w:numPr>
        <w:pBdr>
          <w:bottom w:val="none" w:color="auto" w:sz="0" w:space="0"/>
        </w:pBdr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ind w:leftChars="0" w:firstLine="436" w:firstLineChars="200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2.央国企/金融机构</w:t>
      </w:r>
    </w:p>
    <w:p w14:paraId="78086587">
      <w:pPr>
        <w:pageBreakBefore w:val="0"/>
        <w:widowControl/>
        <w:pBdr>
          <w:bottom w:val="none" w:color="auto" w:sz="0" w:space="0"/>
        </w:pBdr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firstLine="436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当前国内新能源行业央国企的ESG相关岗位重点面向环境类、新能源类、工程类等专业人才，聚焦绿色转型、碳减排技术研发等核心领域，要求具备低碳技术应用和碳排放核算等实操技能。以国家电投和中广核为例，这些企业已将ESG指标纳入项目考核，并优先考虑持有相关资质的候选人；与此同时，中金、中信和普华永道等领先金融机构推出的ESG专项岗位（如绿色金融产品设计和ESG评级分析）则要求应聘者拥有CFA-SIC资质或ESG评级经验。</w:t>
      </w:r>
    </w:p>
    <w:p w14:paraId="6568E60B">
      <w:pPr>
        <w:pageBreakBefore w:val="0"/>
        <w:widowControl/>
        <w:pBdr>
          <w:bottom w:val="none" w:color="auto" w:sz="0" w:space="0"/>
        </w:pBdr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firstLine="436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</w:p>
    <w:p w14:paraId="476177A3">
      <w:pPr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Chars="0" w:firstLine="436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3.学术深造</w:t>
      </w:r>
    </w:p>
    <w:p w14:paraId="5059FE22"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ind w:left="0" w:right="0" w:firstLine="436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ESG相关研究经历（如政策分析报告撰写、绿色金融产品创新）可显著提升国内外顶尖高校以下方向的申请竞争力：</w:t>
      </w:r>
    </w:p>
    <w:p w14:paraId="4300A20F"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ind w:firstLine="436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（1）博士项目适配领域：金融学（绿色金融方向）、公共政策（气候治理与可持续发展）、环境经济学等。</w:t>
      </w:r>
    </w:p>
    <w:p w14:paraId="0A11163B"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before="60" w:after="0" w:line="360" w:lineRule="auto"/>
        <w:ind w:left="0" w:firstLine="436" w:firstLineChars="200"/>
        <w:jc w:val="both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（2）学术实践结合：参与地方政府ESG试点项目研究、发表碳市场机制分析论文等经历，成为高校选拔跨学科复合型人才的重要参考。</w:t>
      </w:r>
    </w:p>
    <w:p w14:paraId="01E2B79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40" w:firstLineChars="200"/>
        <w:textAlignment w:val="baseline"/>
        <w:rPr>
          <w:rFonts w:ascii="Calibri" w:hAnsi="Calibri" w:eastAsia="Calibri" w:cs="Calibri"/>
          <w:b w:val="0"/>
          <w:i w:val="0"/>
          <w:strike w:val="0"/>
          <w:color w:val="000000"/>
          <w:spacing w:val="0"/>
          <w:sz w:val="22"/>
          <w:u w:val="none"/>
        </w:rPr>
      </w:pPr>
      <w:r>
        <w:rPr>
          <w:rFonts w:ascii="Calibri" w:hAnsi="Calibri" w:eastAsia="Calibri" w:cs="Calibri"/>
          <w:b w:val="0"/>
          <w:i w:val="0"/>
          <w:strike w:val="0"/>
          <w:color w:val="000000"/>
          <w:spacing w:val="0"/>
          <w:sz w:val="22"/>
          <w:u w:val="none"/>
        </w:rPr>
        <w:t xml:space="preserve"> </w:t>
      </w:r>
    </w:p>
    <w:p w14:paraId="75E65E8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  <w:t>三、CFA-SIC证书简介</w:t>
      </w:r>
      <w:r>
        <w:rPr>
          <w:rFonts w:ascii="Calibri" w:hAnsi="Calibri" w:eastAsia="Calibri" w:cs="Calibri"/>
          <w:b/>
          <w:i w:val="0"/>
          <w:strike w:val="0"/>
          <w:color w:val="000000"/>
          <w:spacing w:val="0"/>
          <w:u w:val="none"/>
        </w:rPr>
        <w:t xml:space="preserve"> </w:t>
      </w:r>
    </w:p>
    <w:p w14:paraId="0D7399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jc w:val="both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>CFA-SIC证书（Sustainable Investing Certificate）由CFA协会颁发，是ESG领域首个全球公认的权威认证，覆盖环境风险分析、社会责任评估、公司治理架构等核心内容。持证者可在金融、咨询、企业战略等领域获得显著竞争优势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eastAsia="zh-CN" w:bidi="ar-SA"/>
        </w:rPr>
        <w:t>。</w:t>
      </w: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>并且CFA-SIC证书深度契合国内政策导向与市场需求，是职业发展的强力背书。</w:t>
      </w:r>
    </w:p>
    <w:p w14:paraId="21555B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>政策驱动：中国证监会、国资委明确要求上市公司及央企全面覆盖ESG信息披露，持证者在公务员招录、国企（如中石油、国家电网）及监管机构岗位竞争中占据专业优势。</w:t>
      </w:r>
    </w:p>
    <w:p w14:paraId="3FB036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>京津冀需求突出：北京依托交易所ESG披露指引推动金融机构、央企总部加速ESG布局；天津作为北方金融试点，绿色金融、碳交易等领域对持证人才需求激增。</w:t>
      </w:r>
    </w:p>
    <w:p w14:paraId="20FF71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>头部企业认可：阿里、腾讯及四大会计师事务所等企业将CFA-SIC作为ESG分析师、可持续发展岗的优先录用标准，年薪普遍25万起。</w:t>
      </w:r>
    </w:p>
    <w:p w14:paraId="49C796E8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>高效实用：无学历门槛，线上考试灵活，备考3个月即可持证，助力快速切入政策红利赛道，抢占京津冀及全国高潜就业机会。</w:t>
      </w:r>
    </w:p>
    <w:p w14:paraId="2469EC15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</w:p>
    <w:p w14:paraId="656D7525">
      <w:pPr>
        <w:pageBreakBefore w:val="0"/>
        <w:pBdr>
          <w:bottom w:val="none" w:color="auto" w:sz="0" w:space="0"/>
        </w:pBdr>
        <w:wordWrap/>
        <w:overflowPunct/>
        <w:topLinePunct w:val="0"/>
        <w:bidi w:val="0"/>
        <w:snapToGrid/>
        <w:spacing w:line="360" w:lineRule="auto"/>
        <w:ind w:firstLine="438" w:firstLineChars="200"/>
        <w:rPr>
          <w:rFonts w:hint="eastAsia" w:ascii="宋体" w:hAnsi="宋体" w:eastAsia="宋体" w:cs="宋体"/>
          <w:b/>
          <w:bCs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四、ESG实践班培养方案与办学优势</w:t>
      </w:r>
    </w:p>
    <w:p w14:paraId="32B44977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 xml:space="preserve">1. 培养方式  </w:t>
      </w:r>
    </w:p>
    <w:p w14:paraId="0D82C842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>为应对沪深北三大交易所2026年ESG报告强制披露政策要求，本课程以CFA协会SIC证书为核心目标，系统构建ESG知识体系与实战技能。通过理论精讲与行业案例深度结合，强化学员对国际标准的应用能力及企业合规披露实务。课程内容直指CFA-SIC认证考试要点，同步融入中国本土政策实践，助力学员高效备考全球权威认证，掌握ESG战略规划与报告编制能力，抢占2026年政策落地后的职业发展先机。</w:t>
      </w:r>
    </w:p>
    <w:p w14:paraId="6C437D73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 xml:space="preserve">2. 办学特色  </w:t>
      </w:r>
    </w:p>
    <w:p w14:paraId="221605E9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 xml:space="preserve">对标CFA协会SIC最新考纲，设置“前导-精讲-冲刺”三阶段课程，由双持证导师全程领衔授课，聚焦考纲核心模块（ESG投资、气候风险、披露准则），辅以真题精析与模考强化，助力学员90天高效通关。课程通过分阶突破、高频考点精讲及实战答题技巧训练，精准提升CFA-SIC认证通过率，赋能学员快速掌握政策合规与商业落地的双重竞争力。 </w:t>
      </w:r>
    </w:p>
    <w:p w14:paraId="4EC0A7B5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 xml:space="preserve"> </w:t>
      </w:r>
    </w:p>
    <w:p w14:paraId="63454825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 xml:space="preserve">课程体系 </w:t>
      </w:r>
    </w:p>
    <w:p w14:paraId="4E710F80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 xml:space="preserve">1. 核心模块  </w:t>
      </w:r>
    </w:p>
    <w:p w14:paraId="02FE2B92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>- 基础理论：ESG投资简介、ESG市场、环境因素、社会因素、治理因素、参与和尽职管理</w:t>
      </w:r>
    </w:p>
    <w:p w14:paraId="0AFE00B5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>- 投资整合：ESG分析、ESG估值、ESG整合的组合构建和管理、授权投资、组合分析和客户汇报</w:t>
      </w:r>
    </w:p>
    <w:p w14:paraId="12123E6C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</w:p>
    <w:p w14:paraId="045E801D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 xml:space="preserve">2. 课程安排  </w:t>
      </w:r>
    </w:p>
    <w:p w14:paraId="1A363DB3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 xml:space="preserve">- 周期：3个月（线上精讲+线下冲刺）。  </w:t>
      </w:r>
    </w:p>
    <w:p w14:paraId="6A103FFF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 xml:space="preserve">- 线下：河北金融学院面授（备考前集中授课）。  </w:t>
      </w:r>
    </w:p>
    <w:p w14:paraId="47A1DE8E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left="0"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  <w:t xml:space="preserve">- 线上：智能学习平台（动态学习计划+模拟考试系统）。  </w:t>
      </w:r>
    </w:p>
    <w:p w14:paraId="6C8734C3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</w:p>
    <w:p w14:paraId="329E827A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师资力量</w:t>
      </w:r>
    </w:p>
    <w:p w14:paraId="76BC3C9F">
      <w:pPr>
        <w:pageBreakBefore w:val="0"/>
        <w:wordWrap/>
        <w:overflowPunct/>
        <w:topLinePunct w:val="0"/>
        <w:bidi w:val="0"/>
        <w:snapToGrid/>
        <w:spacing w:line="360" w:lineRule="auto"/>
        <w:ind w:left="0" w:firstLine="436" w:firstLineChars="200"/>
        <w:jc w:val="both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CFA-ESG研修班汇聚顶尖师资团队，由兼具国际视野与本土实战经验的专家领衔。</w:t>
      </w:r>
    </w:p>
    <w:p w14:paraId="19E5C965">
      <w:pPr>
        <w:pageBreakBefore w:val="0"/>
        <w:wordWrap/>
        <w:overflowPunct/>
        <w:topLinePunct w:val="0"/>
        <w:bidi w:val="0"/>
        <w:snapToGrid/>
        <w:spacing w:line="360" w:lineRule="auto"/>
        <w:ind w:left="0" w:firstLine="436" w:firstLineChars="200"/>
        <w:jc w:val="both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张磊老师（CFA持证人）作为世界500强企业前战略投资高管，深耕ESG并购与可持续发展战略；</w:t>
      </w:r>
    </w:p>
    <w:p w14:paraId="65EB73B5">
      <w:pPr>
        <w:pageBreakBefore w:val="0"/>
        <w:wordWrap/>
        <w:overflowPunct/>
        <w:topLinePunct w:val="0"/>
        <w:bidi w:val="0"/>
        <w:snapToGrid/>
        <w:spacing w:line="360" w:lineRule="auto"/>
        <w:ind w:left="0" w:firstLine="436" w:firstLineChars="200"/>
        <w:jc w:val="both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朱祎老师（CFA/CFA-SIC双持证人）曾任职穆迪中国与长江商学院，专精ESG国际标准与绿色金融创新。</w:t>
      </w:r>
    </w:p>
    <w:p w14:paraId="4F358155">
      <w:pPr>
        <w:pageBreakBefore w:val="0"/>
        <w:pBdr>
          <w:bottom w:val="none" w:color="auto" w:sz="0" w:space="0"/>
        </w:pBdr>
        <w:wordWrap/>
        <w:overflowPunct/>
        <w:topLinePunct w:val="0"/>
        <w:bidi w:val="0"/>
        <w:snapToGrid/>
        <w:spacing w:line="360" w:lineRule="auto"/>
        <w:ind w:left="0" w:firstLine="436" w:firstLineChars="200"/>
        <w:jc w:val="both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</w:pPr>
      <w:r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val="en-US" w:eastAsia="en-US" w:bidi="ar-SA"/>
        </w:rPr>
        <w:t>授课导师均拥有顶尖院校背景及10年以上行业积淀，将理论教学与真实案例相结合，助力学员掌握ESG前沿知识体系与实务技能，赋能职业发展。</w:t>
      </w:r>
    </w:p>
    <w:p w14:paraId="1CBF4C04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 w:line="360" w:lineRule="auto"/>
        <w:ind w:firstLine="436" w:firstLineChars="200"/>
        <w:textAlignment w:val="auto"/>
        <w:rPr>
          <w:rFonts w:hint="eastAsia" w:ascii="宋体" w:hAnsi="宋体" w:eastAsia="宋体" w:cs="宋体"/>
          <w:snapToGrid w:val="0"/>
          <w:color w:val="000000"/>
          <w:spacing w:val="-1"/>
          <w:kern w:val="0"/>
          <w:sz w:val="22"/>
          <w:szCs w:val="22"/>
          <w:lang w:bidi="ar-SA"/>
        </w:rPr>
      </w:pPr>
    </w:p>
    <w:p w14:paraId="1543765E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1"/>
          <w:kern w:val="0"/>
          <w:sz w:val="22"/>
          <w:szCs w:val="22"/>
          <w:lang w:val="en-US" w:eastAsia="zh-CN" w:bidi="ar-SA"/>
        </w:rPr>
        <w:t>报名须知</w:t>
      </w:r>
    </w:p>
    <w:p w14:paraId="2B42CEB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  <w:t>1.报名条件</w:t>
      </w:r>
    </w:p>
    <w:p w14:paraId="5370CC99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为保证教学效果，CFA-ESG研修班本届招生人数为30人。在我校符合条件的学生中选拔，文理不限，学生自愿报名参加CFA-ESG研修班学习。</w:t>
      </w:r>
    </w:p>
    <w:p w14:paraId="02FD5904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报名条件为：</w:t>
      </w:r>
    </w:p>
    <w:p w14:paraId="57E8CDF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1.2025年研究生在读/2021级、2022级本科生在读；</w:t>
      </w:r>
    </w:p>
    <w:p w14:paraId="51A59C72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2.学习态度端正，具备一定英语与数据分析基础；</w:t>
      </w:r>
    </w:p>
    <w:p w14:paraId="0B2A9336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3.对ESG领域感兴趣者优先。</w:t>
      </w:r>
    </w:p>
    <w:p w14:paraId="19AA2F6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  <w:t>2.办公地址</w:t>
      </w:r>
    </w:p>
    <w:p w14:paraId="3854B72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 xml:space="preserve">河北金融学院笃学楼D502 </w:t>
      </w:r>
    </w:p>
    <w:p w14:paraId="1D44BADE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default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（周二、周三、周五、周六、周日：10：00-12：00、14：00-18：00；）</w:t>
      </w:r>
    </w:p>
    <w:p w14:paraId="25A54AE0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outlineLvl w:val="2"/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  <w:t>3.线上咨询</w:t>
      </w:r>
    </w:p>
    <w:p w14:paraId="77D5AA2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1.微信扫码填写预约咨询表进行网申登记，招生组老师将电话回访沟通班级情况。</w:t>
      </w:r>
    </w:p>
    <w:p w14:paraId="2A5A4A6B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20" w:firstLineChars="200"/>
        <w:jc w:val="center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color w:val="000000"/>
          <w:shd w:val="clear" w:color="auto" w:fill="FFFFFF"/>
        </w:rPr>
        <w:drawing>
          <wp:inline distT="0" distB="0" distL="0" distR="0">
            <wp:extent cx="1171575" cy="1171575"/>
            <wp:effectExtent l="0" t="0" r="22225" b="22225"/>
            <wp:docPr id="2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 descr="descript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F364F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default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2.电话咨询招生老师。</w:t>
      </w:r>
    </w:p>
    <w:p w14:paraId="07537D17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田老师：</w:t>
      </w:r>
      <w:r>
        <w:rPr>
          <w:rFonts w:ascii="宋体" w:hAnsi="宋体" w:eastAsia="宋体" w:cs="宋体"/>
          <w:sz w:val="24"/>
          <w:szCs w:val="24"/>
        </w:rPr>
        <w:t>15614231239</w:t>
      </w:r>
    </w:p>
    <w:p w14:paraId="7E5CD0C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8" w:firstLineChars="200"/>
        <w:textAlignment w:val="baseline"/>
        <w:outlineLvl w:val="2"/>
        <w:rPr>
          <w:rFonts w:hint="default" w:ascii="宋体" w:hAnsi="宋体" w:eastAsia="宋体" w:cs="宋体"/>
          <w:b/>
          <w:bCs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"/>
          <w:sz w:val="22"/>
          <w:szCs w:val="22"/>
          <w:lang w:val="en-US" w:eastAsia="zh-CN"/>
        </w:rPr>
        <w:t>4.招生录取</w:t>
      </w:r>
    </w:p>
    <w:p w14:paraId="30D66BDC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第一步：网申登记</w:t>
      </w:r>
    </w:p>
    <w:p w14:paraId="7CEB9683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default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第二步：审核、面试</w:t>
      </w:r>
    </w:p>
    <w:p w14:paraId="7438D335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网申登记通过后，会安排相应的审核及面试，由专门老师负责通知。</w:t>
      </w:r>
    </w:p>
    <w:p w14:paraId="3479FAEA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第三步：录取</w:t>
      </w:r>
    </w:p>
    <w:p w14:paraId="6513A94D">
      <w:pPr>
        <w:pStyle w:val="3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436" w:firstLineChars="200"/>
        <w:textAlignment w:val="baseline"/>
      </w:pP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>完成面试考核的考生，进行录取资格审查，发放入班通知书，缴费成功后即可完成正式报名。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FBC3BA"/>
    <w:multiLevelType w:val="singleLevel"/>
    <w:tmpl w:val="7EFBC3B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A40E7"/>
    <w:rsid w:val="0E8E1548"/>
    <w:rsid w:val="1BD660BB"/>
    <w:rsid w:val="1E2763C1"/>
    <w:rsid w:val="1E5B7F7C"/>
    <w:rsid w:val="244B48D2"/>
    <w:rsid w:val="26EF7E5A"/>
    <w:rsid w:val="3281536B"/>
    <w:rsid w:val="37CE1367"/>
    <w:rsid w:val="475C073D"/>
    <w:rsid w:val="4DA0423B"/>
    <w:rsid w:val="656A40E7"/>
    <w:rsid w:val="6A6F5837"/>
    <w:rsid w:val="767955ED"/>
    <w:rsid w:val="7BB51BEE"/>
    <w:rsid w:val="7F2F44A4"/>
    <w:rsid w:val="7FDF6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0" w:after="0" w:line="408" w:lineRule="auto"/>
      <w:outlineLvl w:val="2"/>
    </w:pPr>
    <w:rPr>
      <w:b/>
      <w:bCs/>
      <w:color w:val="1A1A1A"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1024</Words>
  <Characters>1089</Characters>
  <Lines>0</Lines>
  <Paragraphs>0</Paragraphs>
  <TotalTime>3</TotalTime>
  <ScaleCrop>false</ScaleCrop>
  <LinksUpToDate>false</LinksUpToDate>
  <CharactersWithSpaces>1094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2025-03-31T10:39:00Z</dcterms:created>
  <dc:creator>高兴宇</dc:creator>
  <cp:lastModifiedBy>Aster</cp:lastModifiedBy>
  <dcterms:modified xsi:type="dcterms:W3CDTF">2025-04-11T08:36:03Z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05133F8EEBC4417C8CF78A23BF5CA6E5_13</vt:lpwstr>
  </property>
  <property fmtid="{D5CDD505-2E9C-101B-9397-08002B2CF9AE}" pid="4" name="KSOTemplateDocerSaveRecord">
    <vt:lpwstr>eyJoZGlkIjoiZjc3NmY1ZDhjMzIyODg4MWFkZDg3OTNlMGI4OWExMTciLCJ1c2VySWQiOiIxMTc3NTg5Mjg0In0=</vt:lpwstr>
  </property>
</Properties>
</file>