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napToGrid w:val="0"/>
        <w:spacing w:before="156" w:beforeLines="50" w:after="156" w:afterLines="50" w:line="360" w:lineRule="auto"/>
        <w:jc w:val="left"/>
        <w:rPr>
          <w:rFonts w:hint="eastAsia" w:ascii="宋体" w:hAnsi="宋体" w:eastAsia="宋体" w:cs="宋体"/>
          <w:b/>
          <w:bCs/>
          <w:kern w:val="0"/>
          <w:sz w:val="24"/>
          <w:szCs w:val="24"/>
        </w:rPr>
      </w:pPr>
      <w:bookmarkStart w:id="0" w:name="_GoBack"/>
      <w:r>
        <w:rPr>
          <w:rFonts w:hint="eastAsia" w:ascii="宋体" w:hAnsi="宋体" w:eastAsia="宋体" w:cs="宋体"/>
          <w:b/>
          <w:bCs/>
          <w:kern w:val="0"/>
          <w:sz w:val="24"/>
          <w:szCs w:val="24"/>
        </w:rPr>
        <w:t>附件</w:t>
      </w:r>
      <w:r>
        <w:rPr>
          <w:rFonts w:hint="default" w:ascii="宋体" w:hAnsi="宋体" w:eastAsia="宋体" w:cs="宋体"/>
          <w:b/>
          <w:bCs/>
          <w:kern w:val="0"/>
          <w:sz w:val="24"/>
          <w:szCs w:val="24"/>
        </w:rPr>
        <w:t>2</w:t>
      </w:r>
      <w:r>
        <w:rPr>
          <w:rFonts w:hint="eastAsia" w:ascii="宋体" w:hAnsi="宋体" w:eastAsia="宋体" w:cs="宋体"/>
          <w:b/>
          <w:bCs/>
          <w:kern w:val="0"/>
          <w:sz w:val="24"/>
          <w:szCs w:val="24"/>
        </w:rPr>
        <w:t>：</w:t>
      </w:r>
    </w:p>
    <w:p>
      <w:pPr>
        <w:snapToGrid w:val="0"/>
        <w:spacing w:before="156" w:beforeLines="50" w:after="156" w:afterLines="50" w:line="360" w:lineRule="auto"/>
        <w:jc w:val="center"/>
        <w:rPr>
          <w:rFonts w:hint="eastAsia" w:ascii="宋体" w:hAnsi="宋体" w:eastAsia="宋体" w:cs="宋体"/>
          <w:b/>
          <w:bCs/>
          <w:kern w:val="0"/>
          <w:sz w:val="24"/>
          <w:szCs w:val="24"/>
        </w:rPr>
      </w:pPr>
      <w:r>
        <w:rPr>
          <w:rFonts w:hint="eastAsia" w:ascii="宋体" w:hAnsi="宋体" w:eastAsia="宋体" w:cs="宋体"/>
          <w:b/>
          <w:bCs/>
          <w:kern w:val="0"/>
          <w:sz w:val="24"/>
          <w:szCs w:val="24"/>
          <w:lang w:eastAsia="zh-Hans"/>
        </w:rPr>
        <w:t>“</w:t>
      </w:r>
      <w:r>
        <w:rPr>
          <w:rFonts w:hint="eastAsia" w:ascii="宋体" w:hAnsi="宋体" w:eastAsia="宋体" w:cs="宋体"/>
          <w:b/>
          <w:bCs/>
          <w:kern w:val="0"/>
          <w:sz w:val="24"/>
          <w:szCs w:val="24"/>
        </w:rPr>
        <w:t>量化金融建模与人工智能应用</w:t>
      </w:r>
      <w:r>
        <w:rPr>
          <w:rFonts w:hint="eastAsia" w:ascii="宋体" w:hAnsi="宋体" w:eastAsia="宋体" w:cs="宋体"/>
          <w:b/>
          <w:bCs/>
          <w:kern w:val="0"/>
          <w:sz w:val="24"/>
          <w:szCs w:val="24"/>
          <w:lang w:eastAsia="zh-Hans"/>
        </w:rPr>
        <w:t>”</w:t>
      </w:r>
      <w:r>
        <w:rPr>
          <w:rFonts w:hint="eastAsia" w:ascii="宋体" w:hAnsi="宋体" w:eastAsia="宋体" w:cs="宋体"/>
          <w:b/>
          <w:bCs/>
          <w:kern w:val="0"/>
          <w:sz w:val="24"/>
          <w:szCs w:val="24"/>
        </w:rPr>
        <w:t>特色创新班</w:t>
      </w:r>
    </w:p>
    <w:bookmarkEnd w:id="0"/>
    <w:p>
      <w:pPr>
        <w:snapToGrid w:val="0"/>
        <w:spacing w:before="156" w:beforeLines="50" w:after="156" w:afterLines="50" w:line="360" w:lineRule="auto"/>
        <w:rPr>
          <w:rFonts w:hint="eastAsia" w:ascii="宋体" w:hAnsi="宋体" w:eastAsia="宋体" w:cs="宋体"/>
          <w:b/>
          <w:bCs/>
          <w:sz w:val="24"/>
          <w:szCs w:val="24"/>
        </w:rPr>
      </w:pPr>
      <w:r>
        <w:rPr>
          <w:rFonts w:hint="eastAsia" w:ascii="宋体" w:hAnsi="宋体" w:eastAsia="宋体" w:cs="宋体"/>
          <w:b/>
          <w:bCs/>
          <w:sz w:val="24"/>
          <w:szCs w:val="24"/>
        </w:rPr>
        <w:t>一、特色创新班介绍</w:t>
      </w:r>
    </w:p>
    <w:p>
      <w:pPr>
        <w:spacing w:line="360" w:lineRule="auto"/>
        <w:ind w:firstLine="420"/>
        <w:rPr>
          <w:rFonts w:hint="eastAsia" w:ascii="宋体" w:hAnsi="宋体" w:eastAsia="宋体" w:cs="宋体"/>
          <w:sz w:val="24"/>
          <w:szCs w:val="24"/>
        </w:rPr>
      </w:pPr>
      <w:r>
        <w:rPr>
          <w:rFonts w:hint="eastAsia" w:ascii="宋体" w:hAnsi="宋体" w:eastAsia="宋体" w:cs="宋体"/>
          <w:sz w:val="24"/>
          <w:szCs w:val="24"/>
        </w:rPr>
        <w:t>特色创新班</w:t>
      </w:r>
      <w:r>
        <w:rPr>
          <w:rFonts w:hint="eastAsia" w:ascii="宋体" w:hAnsi="宋体" w:eastAsia="宋体" w:cs="宋体"/>
          <w:sz w:val="24"/>
          <w:szCs w:val="24"/>
        </w:rPr>
        <w:t>是指在主专业学习以外，围绕某个特定学术领域、研究方向或核心素养，提炼开设的一组核心课程。学生通过灵活且系统的培养，能够在特定领域具备一定的学术专业素养和行业从业能力</w:t>
      </w:r>
      <w:r>
        <w:rPr>
          <w:rFonts w:hint="eastAsia" w:ascii="宋体" w:hAnsi="宋体" w:eastAsia="宋体" w:cs="宋体"/>
          <w:sz w:val="24"/>
          <w:szCs w:val="24"/>
        </w:rPr>
        <w:t>。</w:t>
      </w:r>
      <w:r>
        <w:rPr>
          <w:rFonts w:hint="eastAsia" w:ascii="宋体" w:hAnsi="宋体" w:eastAsia="宋体" w:cs="宋体"/>
          <w:sz w:val="24"/>
          <w:szCs w:val="24"/>
        </w:rPr>
        <w:t>可以为学生的未来发展提供更多的可能性。他山之石，可以攻玉， 丰富多样的知识架构或能成为未来竞争中的优势。</w:t>
      </w:r>
    </w:p>
    <w:p>
      <w:pPr>
        <w:spacing w:line="360" w:lineRule="auto"/>
        <w:ind w:firstLine="420"/>
        <w:rPr>
          <w:rFonts w:hint="eastAsia" w:ascii="宋体" w:hAnsi="宋体" w:eastAsia="宋体" w:cs="宋体"/>
          <w:sz w:val="24"/>
          <w:szCs w:val="24"/>
        </w:rPr>
      </w:pPr>
      <w:r>
        <w:rPr>
          <w:rFonts w:hint="eastAsia" w:ascii="宋体" w:hAnsi="宋体" w:eastAsia="宋体" w:cs="宋体"/>
          <w:sz w:val="24"/>
          <w:szCs w:val="24"/>
        </w:rPr>
        <w:t>特色创新班与其他的专业班级相比最突出的特点就在于“特色”两字。不但学分量少，在课程的设置上取专业精华之所在，由各专业所在学院自主选取专业的特色核心课程，形成体系。除课程设置小而精、实打实外，优中选优的系统化核心课程中不乏各类精品课程。学生只要有兴趣、敢挑战，修满学分便可获得学校（学院）授予的合格证书。</w:t>
      </w:r>
    </w:p>
    <w:p>
      <w:pPr>
        <w:spacing w:line="360" w:lineRule="auto"/>
        <w:ind w:firstLine="420"/>
        <w:rPr>
          <w:rFonts w:hint="eastAsia" w:ascii="宋体" w:hAnsi="宋体" w:eastAsia="宋体" w:cs="宋体"/>
          <w:sz w:val="24"/>
          <w:szCs w:val="24"/>
        </w:rPr>
      </w:pPr>
      <w:r>
        <w:rPr>
          <w:rFonts w:hint="eastAsia" w:ascii="宋体" w:hAnsi="宋体" w:eastAsia="宋体" w:cs="宋体"/>
          <w:sz w:val="24"/>
          <w:szCs w:val="24"/>
        </w:rPr>
        <w:t>近年来越来越多的高校陆续开展微专业以及创新班的人才培养。经济/金融与科技的深度融合，“经济/金融+数学统计+计算机”的学科交叉、融合创新已是大势所趋。</w:t>
      </w:r>
    </w:p>
    <w:p>
      <w:pPr>
        <w:snapToGrid w:val="0"/>
        <w:spacing w:before="156" w:beforeLines="50" w:after="156" w:afterLines="50" w:line="360" w:lineRule="auto"/>
        <w:rPr>
          <w:rFonts w:hint="eastAsia" w:ascii="宋体" w:hAnsi="宋体" w:eastAsia="宋体" w:cs="宋体"/>
          <w:b/>
          <w:bCs/>
          <w:sz w:val="24"/>
          <w:szCs w:val="24"/>
        </w:rPr>
      </w:pPr>
      <w:r>
        <w:rPr>
          <w:rFonts w:hint="eastAsia" w:ascii="宋体" w:hAnsi="宋体" w:eastAsia="宋体" w:cs="宋体"/>
          <w:b/>
          <w:bCs/>
          <w:sz w:val="24"/>
          <w:szCs w:val="24"/>
        </w:rPr>
        <w:t>二、人才培养方向设定</w:t>
      </w:r>
    </w:p>
    <w:p>
      <w:pPr>
        <w:spacing w:line="360" w:lineRule="auto"/>
        <w:ind w:firstLine="420"/>
        <w:rPr>
          <w:rFonts w:hint="eastAsia" w:ascii="宋体" w:hAnsi="宋体" w:eastAsia="宋体" w:cs="宋体"/>
          <w:sz w:val="24"/>
          <w:szCs w:val="24"/>
        </w:rPr>
      </w:pPr>
      <w:r>
        <w:rPr>
          <w:rFonts w:hint="eastAsia" w:ascii="宋体" w:hAnsi="宋体" w:eastAsia="宋体" w:cs="宋体"/>
          <w:sz w:val="24"/>
          <w:szCs w:val="24"/>
        </w:rPr>
        <w:t>随着金融科技对二级市场资产管理行业格局改变的推进，资产管理领域的金融机构包括公募、券商、期货、私募、财富管理、金融科技公司以及银行、保险的资产管理部或量化研究部门，在量化策略研究、量化分析、资产配置、风险管理、智能投研、量化资产管理等多个业务方向，对“经济/金融</w:t>
      </w:r>
      <w:r>
        <w:rPr>
          <w:rFonts w:hint="eastAsia" w:ascii="宋体" w:hAnsi="宋体" w:eastAsia="宋体" w:cs="宋体"/>
          <w:sz w:val="24"/>
          <w:szCs w:val="24"/>
        </w:rPr>
        <w:t>+</w:t>
      </w:r>
      <w:r>
        <w:rPr>
          <w:rFonts w:hint="eastAsia" w:ascii="宋体" w:hAnsi="宋体" w:eastAsia="宋体" w:cs="宋体"/>
          <w:sz w:val="24"/>
          <w:szCs w:val="24"/>
        </w:rPr>
        <w:t>统计</w:t>
      </w:r>
      <w:r>
        <w:rPr>
          <w:rFonts w:hint="eastAsia" w:ascii="宋体" w:hAnsi="宋体" w:eastAsia="宋体" w:cs="宋体"/>
          <w:sz w:val="24"/>
          <w:szCs w:val="24"/>
        </w:rPr>
        <w:t>+</w:t>
      </w:r>
      <w:r>
        <w:rPr>
          <w:rFonts w:hint="eastAsia" w:ascii="宋体" w:hAnsi="宋体" w:eastAsia="宋体" w:cs="宋体"/>
          <w:sz w:val="24"/>
          <w:szCs w:val="24"/>
        </w:rPr>
        <w:t>编程”的复合型背景的实践人才需求量越来越大。量化金融是一个培养学生复合实践能力，以及处于快速发展的一个市场方向。但现实是，一方面大量社会企业很难寻找到合适的量化金融人才，另一方面高校对于如何培养出符合企业需求的人才又深感困扰，因此如何针对性提升学生量化金融实战水平，并使其更符合社会实际需要。为解决上述问题，为培养相关领域的复合型、应用型人才，现制定“量化金融建模与人工智能应用特色创新班”方案。</w:t>
      </w:r>
    </w:p>
    <w:p>
      <w:pPr>
        <w:spacing w:line="360" w:lineRule="auto"/>
        <w:ind w:firstLine="420"/>
        <w:rPr>
          <w:rFonts w:hint="eastAsia" w:ascii="宋体" w:hAnsi="宋体" w:eastAsia="宋体" w:cs="宋体"/>
          <w:sz w:val="24"/>
          <w:szCs w:val="24"/>
        </w:rPr>
      </w:pPr>
    </w:p>
    <w:p>
      <w:pPr>
        <w:snapToGrid w:val="0"/>
        <w:spacing w:before="156" w:beforeLines="50" w:after="156" w:afterLines="50" w:line="360" w:lineRule="auto"/>
        <w:rPr>
          <w:rFonts w:hint="eastAsia" w:ascii="宋体" w:hAnsi="宋体" w:eastAsia="宋体" w:cs="宋体"/>
          <w:b/>
          <w:bCs/>
          <w:sz w:val="24"/>
          <w:szCs w:val="24"/>
        </w:rPr>
      </w:pPr>
      <w:r>
        <w:rPr>
          <w:rFonts w:hint="eastAsia" w:ascii="宋体" w:hAnsi="宋体" w:eastAsia="宋体" w:cs="宋体"/>
          <w:b/>
          <w:bCs/>
          <w:sz w:val="24"/>
          <w:szCs w:val="24"/>
        </w:rPr>
        <w:t>三、教学目的</w:t>
      </w:r>
    </w:p>
    <w:p>
      <w:pPr>
        <w:spacing w:line="360" w:lineRule="auto"/>
        <w:ind w:firstLine="420"/>
        <w:rPr>
          <w:rFonts w:hint="eastAsia" w:ascii="宋体" w:hAnsi="宋体" w:eastAsia="宋体" w:cs="宋体"/>
          <w:sz w:val="24"/>
          <w:szCs w:val="24"/>
        </w:rPr>
      </w:pPr>
      <w:r>
        <w:rPr>
          <w:rFonts w:hint="eastAsia" w:ascii="宋体" w:hAnsi="宋体" w:eastAsia="宋体" w:cs="宋体"/>
          <w:sz w:val="24"/>
          <w:szCs w:val="24"/>
        </w:rPr>
        <w:t>量化投资+人工智能特色创新班以“培养经济/金融+数学/统计应用人才”为基础目标，以量化投资、大数据分析和人工智能算法为基础，培养学生的实践能力。本课程结合多个典型的、强实战目的应用案例，让学生在短时间内快速掌握量化投资、大数据分析、金融人工智能的行业应用，同时学生可以通过金融二级市场的真实数据，进行数据处理、模型构建、验证回测、模拟自动化交易等实践操作。进一步加深学生对于金融市场的认知、数据分析和建模的能力，并可根据不同的投资标的培养学生掌握不同的投资分析思路。通过提供相关的实验操作、流程分析与案例研究等实践课程，提升学生分析实际问题，解决实际问题。</w:t>
      </w:r>
    </w:p>
    <w:p>
      <w:pPr>
        <w:spacing w:line="360" w:lineRule="auto"/>
        <w:ind w:firstLine="420"/>
        <w:rPr>
          <w:rFonts w:hint="eastAsia" w:ascii="宋体" w:hAnsi="宋体" w:eastAsia="宋体" w:cs="宋体"/>
          <w:sz w:val="24"/>
          <w:szCs w:val="24"/>
        </w:rPr>
      </w:pPr>
      <w:r>
        <w:rPr>
          <w:rFonts w:hint="eastAsia" w:ascii="宋体" w:hAnsi="宋体" w:eastAsia="宋体" w:cs="宋体"/>
          <w:sz w:val="24"/>
          <w:szCs w:val="24"/>
        </w:rPr>
        <w:t>量化投资+人工智能特色创新班的开发课程可让学生在数据分析师、算法工程师、量化交易员、财富顾问等岗位中脱颖而出，快速进入工作岗位，适应岗位需要。</w:t>
      </w:r>
    </w:p>
    <w:p>
      <w:pPr>
        <w:snapToGrid w:val="0"/>
        <w:spacing w:before="156" w:beforeLines="50" w:after="156" w:afterLines="50" w:line="360" w:lineRule="auto"/>
        <w:rPr>
          <w:rFonts w:hint="eastAsia" w:ascii="宋体" w:hAnsi="宋体" w:eastAsia="宋体" w:cs="宋体"/>
          <w:b/>
          <w:bCs/>
          <w:sz w:val="24"/>
          <w:szCs w:val="24"/>
        </w:rPr>
      </w:pPr>
      <w:r>
        <w:rPr>
          <w:rFonts w:hint="eastAsia" w:ascii="宋体" w:hAnsi="宋体" w:eastAsia="宋体" w:cs="宋体"/>
          <w:b/>
          <w:bCs/>
          <w:sz w:val="24"/>
          <w:szCs w:val="24"/>
        </w:rPr>
        <w:t>四、预期效果</w:t>
      </w:r>
    </w:p>
    <w:p>
      <w:pPr>
        <w:spacing w:line="360" w:lineRule="auto"/>
        <w:ind w:firstLine="420"/>
        <w:rPr>
          <w:rFonts w:hint="eastAsia" w:ascii="宋体" w:hAnsi="宋体" w:eastAsia="宋体" w:cs="宋体"/>
          <w:sz w:val="24"/>
          <w:szCs w:val="24"/>
        </w:rPr>
      </w:pPr>
      <w:r>
        <w:rPr>
          <w:rFonts w:hint="eastAsia" w:ascii="宋体" w:hAnsi="宋体" w:eastAsia="宋体" w:cs="宋体"/>
          <w:sz w:val="24"/>
          <w:szCs w:val="24"/>
        </w:rPr>
        <w:t>1、学生对量化金融的基本概念及交易策略形成比较清晰的认识；</w:t>
      </w:r>
    </w:p>
    <w:p>
      <w:pPr>
        <w:spacing w:line="360" w:lineRule="auto"/>
        <w:ind w:firstLine="420"/>
        <w:rPr>
          <w:rFonts w:hint="eastAsia" w:ascii="宋体" w:hAnsi="宋体" w:eastAsia="宋体" w:cs="宋体"/>
          <w:sz w:val="24"/>
          <w:szCs w:val="24"/>
        </w:rPr>
      </w:pPr>
      <w:r>
        <w:rPr>
          <w:rFonts w:hint="eastAsia" w:ascii="宋体" w:hAnsi="宋体" w:eastAsia="宋体" w:cs="宋体"/>
          <w:sz w:val="24"/>
          <w:szCs w:val="24"/>
        </w:rPr>
        <w:t>2、了解量化金融行业目前的就业形式和前景，了解需要掌握的技能；</w:t>
      </w:r>
    </w:p>
    <w:p>
      <w:pPr>
        <w:spacing w:line="360" w:lineRule="auto"/>
        <w:ind w:firstLine="420"/>
        <w:rPr>
          <w:rFonts w:hint="eastAsia" w:ascii="宋体" w:hAnsi="宋体" w:eastAsia="宋体" w:cs="宋体"/>
          <w:sz w:val="24"/>
          <w:szCs w:val="24"/>
        </w:rPr>
      </w:pPr>
      <w:r>
        <w:rPr>
          <w:rFonts w:hint="eastAsia" w:ascii="宋体" w:hAnsi="宋体" w:eastAsia="宋体" w:cs="宋体"/>
          <w:sz w:val="24"/>
          <w:szCs w:val="24"/>
        </w:rPr>
        <w:t>3、掌握一定的量化研究、策略建模的技能及工具，体验一个实际项目的全过程；</w:t>
      </w:r>
    </w:p>
    <w:p>
      <w:pPr>
        <w:spacing w:line="360" w:lineRule="auto"/>
        <w:ind w:firstLine="420"/>
        <w:rPr>
          <w:rFonts w:hint="eastAsia" w:ascii="宋体" w:hAnsi="宋体" w:eastAsia="宋体" w:cs="宋体"/>
          <w:sz w:val="24"/>
          <w:szCs w:val="24"/>
        </w:rPr>
      </w:pPr>
      <w:r>
        <w:rPr>
          <w:rFonts w:hint="eastAsia" w:ascii="宋体" w:hAnsi="宋体" w:eastAsia="宋体" w:cs="宋体"/>
          <w:sz w:val="24"/>
          <w:szCs w:val="24"/>
        </w:rPr>
        <w:t>4</w:t>
      </w:r>
      <w:r>
        <w:rPr>
          <w:rFonts w:hint="eastAsia" w:ascii="宋体" w:hAnsi="宋体" w:eastAsia="宋体" w:cs="宋体"/>
          <w:sz w:val="24"/>
          <w:szCs w:val="24"/>
        </w:rPr>
        <w:t>、具备一定的python爬虫基础，并能运用学会的技术进行项目式的体验；</w:t>
      </w:r>
    </w:p>
    <w:p>
      <w:pPr>
        <w:spacing w:line="360" w:lineRule="auto"/>
        <w:ind w:firstLine="420"/>
        <w:rPr>
          <w:rFonts w:hint="eastAsia" w:ascii="宋体" w:hAnsi="宋体" w:eastAsia="宋体" w:cs="宋体"/>
          <w:sz w:val="24"/>
          <w:szCs w:val="24"/>
        </w:rPr>
      </w:pPr>
      <w:r>
        <w:rPr>
          <w:rFonts w:hint="eastAsia" w:ascii="宋体" w:hAnsi="宋体" w:eastAsia="宋体" w:cs="宋体"/>
          <w:sz w:val="24"/>
          <w:szCs w:val="24"/>
        </w:rPr>
        <w:t>5</w:t>
      </w:r>
      <w:r>
        <w:rPr>
          <w:rFonts w:hint="eastAsia" w:ascii="宋体" w:hAnsi="宋体" w:eastAsia="宋体" w:cs="宋体"/>
          <w:sz w:val="24"/>
          <w:szCs w:val="24"/>
        </w:rPr>
        <w:t>、在实训结束后，能够根据行业的高水平研究报告，实现量化交易的策略复现及优化；</w:t>
      </w:r>
    </w:p>
    <w:p>
      <w:pPr>
        <w:spacing w:line="360" w:lineRule="auto"/>
        <w:ind w:firstLine="420"/>
        <w:rPr>
          <w:rFonts w:hint="eastAsia" w:ascii="宋体" w:hAnsi="宋体" w:eastAsia="宋体" w:cs="宋体"/>
          <w:sz w:val="24"/>
          <w:szCs w:val="24"/>
        </w:rPr>
      </w:pPr>
      <w:r>
        <w:rPr>
          <w:rFonts w:hint="eastAsia" w:ascii="宋体" w:hAnsi="宋体" w:eastAsia="宋体" w:cs="宋体"/>
          <w:sz w:val="24"/>
          <w:szCs w:val="24"/>
        </w:rPr>
        <w:t>6.能够掌握人工智能的算法应用，并将量化投资与人工智能进行结合，掌握交叉学科应用技能</w:t>
      </w:r>
    </w:p>
    <w:p>
      <w:pPr>
        <w:spacing w:line="360" w:lineRule="auto"/>
        <w:ind w:firstLine="420"/>
        <w:rPr>
          <w:rFonts w:hint="eastAsia" w:ascii="宋体" w:hAnsi="宋体" w:eastAsia="宋体" w:cs="宋体"/>
          <w:sz w:val="24"/>
          <w:szCs w:val="24"/>
        </w:rPr>
      </w:pPr>
      <w:r>
        <w:rPr>
          <w:rFonts w:hint="eastAsia" w:ascii="宋体" w:hAnsi="宋体" w:eastAsia="宋体" w:cs="宋体"/>
          <w:sz w:val="24"/>
          <w:szCs w:val="24"/>
        </w:rPr>
        <w:t>7、协助学生对自己后续的职业发展做出相对合理的规划与定位。</w:t>
      </w:r>
    </w:p>
    <w:p>
      <w:pPr>
        <w:spacing w:line="360" w:lineRule="auto"/>
        <w:ind w:firstLine="420"/>
        <w:rPr>
          <w:rFonts w:hint="eastAsia" w:ascii="宋体" w:hAnsi="宋体" w:eastAsia="宋体" w:cs="宋体"/>
          <w:sz w:val="24"/>
          <w:szCs w:val="24"/>
        </w:rPr>
      </w:pPr>
    </w:p>
    <w:p>
      <w:pPr>
        <w:snapToGrid w:val="0"/>
        <w:spacing w:before="156" w:beforeLines="50" w:after="156" w:afterLines="50" w:line="360" w:lineRule="auto"/>
        <w:rPr>
          <w:rFonts w:hint="eastAsia" w:ascii="宋体" w:hAnsi="宋体" w:eastAsia="宋体" w:cs="宋体"/>
          <w:b/>
          <w:bCs/>
          <w:sz w:val="24"/>
          <w:szCs w:val="24"/>
        </w:rPr>
      </w:pPr>
      <w:r>
        <w:rPr>
          <w:rFonts w:hint="eastAsia" w:ascii="宋体" w:hAnsi="宋体" w:eastAsia="宋体" w:cs="宋体"/>
          <w:b/>
          <w:bCs/>
          <w:sz w:val="24"/>
          <w:szCs w:val="24"/>
        </w:rPr>
        <w:t>五、建设内容</w:t>
      </w:r>
    </w:p>
    <w:p>
      <w:pPr>
        <w:spacing w:line="360" w:lineRule="auto"/>
        <w:ind w:firstLine="420"/>
        <w:rPr>
          <w:rFonts w:hint="eastAsia" w:ascii="宋体" w:hAnsi="宋体" w:eastAsia="宋体" w:cs="宋体"/>
          <w:b/>
          <w:bCs/>
          <w:sz w:val="24"/>
          <w:szCs w:val="24"/>
        </w:rPr>
      </w:pPr>
      <w:r>
        <w:rPr>
          <w:rFonts w:hint="eastAsia" w:ascii="宋体" w:hAnsi="宋体" w:eastAsia="宋体" w:cs="宋体"/>
          <w:sz w:val="24"/>
          <w:szCs w:val="24"/>
        </w:rPr>
        <w:t>本特色创新班的建设内容包括两大部分：</w:t>
      </w:r>
      <w:r>
        <w:rPr>
          <w:rFonts w:hint="eastAsia" w:ascii="宋体" w:hAnsi="宋体" w:eastAsia="宋体" w:cs="宋体"/>
          <w:b/>
          <w:bCs/>
          <w:sz w:val="24"/>
          <w:szCs w:val="24"/>
        </w:rPr>
        <w:t>课程建设和考试认证。</w:t>
      </w:r>
    </w:p>
    <w:p>
      <w:pPr>
        <w:widowControl/>
        <w:spacing w:line="360" w:lineRule="auto"/>
        <w:jc w:val="left"/>
        <w:rPr>
          <w:rFonts w:hint="eastAsia" w:ascii="宋体" w:hAnsi="宋体" w:eastAsia="宋体" w:cs="宋体"/>
          <w:b/>
          <w:bCs/>
          <w:sz w:val="24"/>
          <w:szCs w:val="24"/>
        </w:rPr>
      </w:pPr>
      <w:r>
        <w:rPr>
          <w:rFonts w:hint="eastAsia" w:ascii="宋体" w:hAnsi="宋体" w:eastAsia="宋体" w:cs="宋体"/>
          <w:b/>
          <w:bCs/>
          <w:sz w:val="24"/>
          <w:szCs w:val="24"/>
        </w:rPr>
        <w:br w:type="page"/>
      </w:r>
    </w:p>
    <w:p>
      <w:pPr>
        <w:spacing w:line="360" w:lineRule="auto"/>
        <w:rPr>
          <w:rFonts w:hint="eastAsia" w:ascii="宋体" w:hAnsi="宋体" w:eastAsia="宋体" w:cs="宋体"/>
          <w:b/>
          <w:bCs/>
          <w:sz w:val="24"/>
          <w:szCs w:val="24"/>
        </w:rPr>
      </w:pPr>
      <w:r>
        <w:rPr>
          <w:rFonts w:hint="default" w:ascii="宋体" w:hAnsi="宋体" w:eastAsia="宋体" w:cs="宋体"/>
          <w:b/>
          <w:bCs/>
          <w:sz w:val="24"/>
          <w:szCs w:val="24"/>
        </w:rPr>
        <w:t>1、</w:t>
      </w:r>
      <w:r>
        <w:rPr>
          <w:rFonts w:hint="eastAsia" w:ascii="宋体" w:hAnsi="宋体" w:eastAsia="宋体" w:cs="宋体"/>
          <w:b/>
          <w:bCs/>
          <w:sz w:val="24"/>
          <w:szCs w:val="24"/>
        </w:rPr>
        <w:t>课程建设</w:t>
      </w:r>
    </w:p>
    <w:p>
      <w:pPr>
        <w:spacing w:line="360" w:lineRule="auto"/>
        <w:ind w:firstLine="420"/>
        <w:rPr>
          <w:rFonts w:hint="eastAsia" w:ascii="宋体" w:hAnsi="宋体" w:eastAsia="宋体" w:cs="宋体"/>
          <w:sz w:val="24"/>
          <w:szCs w:val="24"/>
        </w:rPr>
      </w:pPr>
      <w:r>
        <w:rPr>
          <w:rFonts w:hint="eastAsia" w:ascii="宋体" w:hAnsi="宋体" w:eastAsia="宋体" w:cs="宋体"/>
          <w:sz w:val="24"/>
          <w:szCs w:val="24"/>
        </w:rPr>
        <w:t>第一周 量化投资（进阶）</w:t>
      </w:r>
    </w:p>
    <w:tbl>
      <w:tblPr>
        <w:tblStyle w:val="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908"/>
        <w:gridCol w:w="56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84" w:hRule="atLeast"/>
        </w:trPr>
        <w:tc>
          <w:tcPr>
            <w:tcW w:w="1706" w:type="pct"/>
            <w:shd w:val="clear" w:color="000000" w:fill="365E98"/>
            <w:noWrap/>
            <w:vAlign w:val="center"/>
          </w:tcPr>
          <w:p>
            <w:pPr>
              <w:widowControl/>
              <w:spacing w:line="360" w:lineRule="auto"/>
              <w:jc w:val="center"/>
              <w:rPr>
                <w:rFonts w:hint="eastAsia" w:ascii="宋体" w:hAnsi="宋体" w:eastAsia="宋体" w:cs="宋体"/>
                <w:b/>
                <w:bCs/>
                <w:color w:val="FFFFFF"/>
                <w:kern w:val="0"/>
                <w:sz w:val="21"/>
                <w:szCs w:val="21"/>
              </w:rPr>
            </w:pPr>
            <w:r>
              <w:rPr>
                <w:rFonts w:hint="eastAsia" w:ascii="宋体" w:hAnsi="宋体" w:eastAsia="宋体" w:cs="宋体"/>
                <w:b/>
                <w:bCs/>
                <w:color w:val="FFFFFF"/>
                <w:kern w:val="0"/>
                <w:sz w:val="21"/>
                <w:szCs w:val="21"/>
              </w:rPr>
              <w:t>一级目录</w:t>
            </w:r>
          </w:p>
        </w:tc>
        <w:tc>
          <w:tcPr>
            <w:tcW w:w="3294" w:type="pct"/>
            <w:shd w:val="clear" w:color="000000" w:fill="365E98"/>
            <w:noWrap/>
            <w:vAlign w:val="center"/>
          </w:tcPr>
          <w:p>
            <w:pPr>
              <w:widowControl/>
              <w:spacing w:line="360" w:lineRule="auto"/>
              <w:jc w:val="center"/>
              <w:rPr>
                <w:rFonts w:hint="eastAsia" w:ascii="宋体" w:hAnsi="宋体" w:eastAsia="宋体" w:cs="宋体"/>
                <w:b/>
                <w:bCs/>
                <w:color w:val="FFFFFF"/>
                <w:kern w:val="0"/>
                <w:sz w:val="21"/>
                <w:szCs w:val="21"/>
              </w:rPr>
            </w:pPr>
            <w:r>
              <w:rPr>
                <w:rFonts w:hint="eastAsia" w:ascii="宋体" w:hAnsi="宋体" w:eastAsia="宋体" w:cs="宋体"/>
                <w:b/>
                <w:bCs/>
                <w:color w:val="FFFFFF"/>
                <w:kern w:val="0"/>
                <w:sz w:val="21"/>
                <w:szCs w:val="21"/>
              </w:rPr>
              <w:t>二级目录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392" w:hRule="atLeast"/>
        </w:trPr>
        <w:tc>
          <w:tcPr>
            <w:tcW w:w="1706" w:type="pct"/>
            <w:shd w:val="clear" w:color="auto" w:fill="auto"/>
            <w:noWrap/>
            <w:vAlign w:val="center"/>
          </w:tcPr>
          <w:p>
            <w:pPr>
              <w:widowControl/>
              <w:spacing w:line="360" w:lineRule="auto"/>
              <w:jc w:val="left"/>
              <w:rPr>
                <w:rFonts w:hint="eastAsia" w:ascii="宋体" w:hAnsi="宋体" w:eastAsia="宋体" w:cs="宋体"/>
                <w:kern w:val="0"/>
                <w:sz w:val="21"/>
                <w:szCs w:val="21"/>
              </w:rPr>
            </w:pPr>
            <w:r>
              <w:rPr>
                <w:rFonts w:hint="eastAsia" w:ascii="宋体" w:hAnsi="宋体" w:eastAsia="宋体" w:cs="宋体"/>
                <w:kern w:val="0"/>
                <w:sz w:val="21"/>
                <w:szCs w:val="21"/>
              </w:rPr>
              <w:t>量化投资概述</w:t>
            </w:r>
          </w:p>
        </w:tc>
        <w:tc>
          <w:tcPr>
            <w:tcW w:w="3294" w:type="pct"/>
            <w:shd w:val="clear" w:color="auto" w:fill="auto"/>
            <w:vAlign w:val="center"/>
          </w:tcPr>
          <w:p>
            <w:pPr>
              <w:widowControl/>
              <w:spacing w:line="360" w:lineRule="auto"/>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1、主动量化组合管理</w:t>
            </w:r>
            <w:r>
              <w:rPr>
                <w:rFonts w:hint="eastAsia" w:ascii="宋体" w:hAnsi="宋体" w:eastAsia="宋体" w:cs="宋体"/>
                <w:color w:val="000000"/>
                <w:kern w:val="0"/>
                <w:sz w:val="21"/>
                <w:szCs w:val="21"/>
              </w:rPr>
              <w:br w:type="textWrapping"/>
            </w:r>
            <w:r>
              <w:rPr>
                <w:rFonts w:hint="eastAsia" w:ascii="宋体" w:hAnsi="宋体" w:eastAsia="宋体" w:cs="宋体"/>
                <w:color w:val="000000"/>
                <w:kern w:val="0"/>
                <w:sz w:val="21"/>
                <w:szCs w:val="21"/>
              </w:rPr>
              <w:t>2、量化国内外的历史发展进程</w:t>
            </w:r>
            <w:r>
              <w:rPr>
                <w:rFonts w:hint="eastAsia" w:ascii="宋体" w:hAnsi="宋体" w:eastAsia="宋体" w:cs="宋体"/>
                <w:color w:val="000000"/>
                <w:kern w:val="0"/>
                <w:sz w:val="21"/>
                <w:szCs w:val="21"/>
              </w:rPr>
              <w:br w:type="textWrapping"/>
            </w:r>
            <w:r>
              <w:rPr>
                <w:rFonts w:hint="eastAsia" w:ascii="宋体" w:hAnsi="宋体" w:eastAsia="宋体" w:cs="宋体"/>
                <w:color w:val="000000"/>
                <w:kern w:val="0"/>
                <w:sz w:val="21"/>
                <w:szCs w:val="21"/>
              </w:rPr>
              <w:t>3、量化投资策略类型</w:t>
            </w:r>
            <w:r>
              <w:rPr>
                <w:rFonts w:hint="eastAsia" w:ascii="宋体" w:hAnsi="宋体" w:eastAsia="宋体" w:cs="宋体"/>
                <w:color w:val="000000"/>
                <w:kern w:val="0"/>
                <w:sz w:val="21"/>
                <w:szCs w:val="21"/>
              </w:rPr>
              <w:br w:type="textWrapping"/>
            </w:r>
            <w:r>
              <w:rPr>
                <w:rFonts w:hint="eastAsia" w:ascii="宋体" w:hAnsi="宋体" w:eastAsia="宋体" w:cs="宋体"/>
                <w:color w:val="000000"/>
                <w:kern w:val="0"/>
                <w:sz w:val="21"/>
                <w:szCs w:val="21"/>
              </w:rPr>
              <w:t>4、量化投资的优劣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005" w:hRule="atLeast"/>
        </w:trPr>
        <w:tc>
          <w:tcPr>
            <w:tcW w:w="1706" w:type="pct"/>
            <w:shd w:val="clear" w:color="auto" w:fill="auto"/>
            <w:vAlign w:val="center"/>
          </w:tcPr>
          <w:p>
            <w:pPr>
              <w:widowControl/>
              <w:spacing w:line="360" w:lineRule="auto"/>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Python函数的创建</w:t>
            </w:r>
          </w:p>
        </w:tc>
        <w:tc>
          <w:tcPr>
            <w:tcW w:w="3294" w:type="pct"/>
            <w:shd w:val="clear" w:color="auto" w:fill="auto"/>
            <w:vAlign w:val="center"/>
          </w:tcPr>
          <w:p>
            <w:pPr>
              <w:widowControl/>
              <w:spacing w:line="360" w:lineRule="auto"/>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1、函数的定义和创建</w:t>
            </w:r>
            <w:r>
              <w:rPr>
                <w:rFonts w:hint="eastAsia" w:ascii="宋体" w:hAnsi="宋体" w:eastAsia="宋体" w:cs="宋体"/>
                <w:color w:val="000000"/>
                <w:kern w:val="0"/>
                <w:sz w:val="21"/>
                <w:szCs w:val="21"/>
              </w:rPr>
              <w:br w:type="textWrapping"/>
            </w:r>
            <w:r>
              <w:rPr>
                <w:rFonts w:hint="eastAsia" w:ascii="宋体" w:hAnsi="宋体" w:eastAsia="宋体" w:cs="宋体"/>
                <w:color w:val="000000"/>
                <w:kern w:val="0"/>
                <w:sz w:val="21"/>
                <w:szCs w:val="21"/>
              </w:rPr>
              <w:t>2、函数参数的传递</w:t>
            </w:r>
            <w:r>
              <w:rPr>
                <w:rFonts w:hint="eastAsia" w:ascii="宋体" w:hAnsi="宋体" w:eastAsia="宋体" w:cs="宋体"/>
                <w:color w:val="000000"/>
                <w:kern w:val="0"/>
                <w:sz w:val="21"/>
                <w:szCs w:val="21"/>
              </w:rPr>
              <w:br w:type="textWrapping"/>
            </w:r>
            <w:r>
              <w:rPr>
                <w:rFonts w:hint="eastAsia" w:ascii="宋体" w:hAnsi="宋体" w:eastAsia="宋体" w:cs="宋体"/>
                <w:color w:val="000000"/>
                <w:kern w:val="0"/>
                <w:sz w:val="21"/>
                <w:szCs w:val="21"/>
              </w:rPr>
              <w:t>3、案例：实现1000以内数的累加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17" w:hRule="atLeast"/>
        </w:trPr>
        <w:tc>
          <w:tcPr>
            <w:tcW w:w="1706" w:type="pct"/>
            <w:shd w:val="clear" w:color="auto" w:fill="auto"/>
            <w:noWrap/>
            <w:vAlign w:val="center"/>
          </w:tcPr>
          <w:p>
            <w:pPr>
              <w:widowControl/>
              <w:spacing w:line="360" w:lineRule="auto"/>
              <w:jc w:val="left"/>
              <w:rPr>
                <w:rFonts w:hint="eastAsia" w:ascii="宋体" w:hAnsi="宋体" w:eastAsia="宋体" w:cs="宋体"/>
                <w:color w:val="000000"/>
                <w:kern w:val="0"/>
                <w:sz w:val="21"/>
                <w:szCs w:val="21"/>
              </w:rPr>
            </w:pPr>
            <w:r>
              <w:rPr>
                <w:rFonts w:hint="eastAsia" w:ascii="宋体" w:hAnsi="宋体" w:eastAsia="宋体" w:cs="宋体"/>
                <w:kern w:val="0"/>
                <w:sz w:val="21"/>
                <w:szCs w:val="21"/>
              </w:rPr>
              <w:t>股票量化基础</w:t>
            </w:r>
          </w:p>
        </w:tc>
        <w:tc>
          <w:tcPr>
            <w:tcW w:w="3294" w:type="pct"/>
            <w:shd w:val="clear" w:color="auto" w:fill="auto"/>
            <w:vAlign w:val="center"/>
          </w:tcPr>
          <w:p>
            <w:pPr>
              <w:widowControl/>
              <w:spacing w:line="360" w:lineRule="auto"/>
              <w:jc w:val="left"/>
              <w:rPr>
                <w:rFonts w:hint="eastAsia" w:ascii="宋体" w:hAnsi="宋体" w:eastAsia="宋体" w:cs="宋体"/>
                <w:color w:val="000000"/>
                <w:kern w:val="0"/>
                <w:sz w:val="21"/>
                <w:szCs w:val="21"/>
              </w:rPr>
            </w:pPr>
            <w:r>
              <w:rPr>
                <w:rFonts w:hint="eastAsia" w:ascii="宋体" w:hAnsi="宋体" w:eastAsia="宋体" w:cs="宋体"/>
                <w:kern w:val="0"/>
                <w:sz w:val="21"/>
                <w:szCs w:val="21"/>
              </w:rPr>
              <w:t>1、股票基础</w:t>
            </w:r>
            <w:r>
              <w:rPr>
                <w:rFonts w:hint="eastAsia" w:ascii="宋体" w:hAnsi="宋体" w:eastAsia="宋体" w:cs="宋体"/>
                <w:kern w:val="0"/>
                <w:sz w:val="21"/>
                <w:szCs w:val="21"/>
              </w:rPr>
              <w:br w:type="textWrapping"/>
            </w:r>
            <w:r>
              <w:rPr>
                <w:rFonts w:hint="eastAsia" w:ascii="宋体" w:hAnsi="宋体" w:eastAsia="宋体" w:cs="宋体"/>
                <w:kern w:val="0"/>
                <w:sz w:val="21"/>
                <w:szCs w:val="21"/>
              </w:rPr>
              <w:t>2、股票交易规则和量化注意点</w:t>
            </w:r>
            <w:r>
              <w:rPr>
                <w:rFonts w:hint="eastAsia" w:ascii="宋体" w:hAnsi="宋体" w:eastAsia="宋体" w:cs="宋体"/>
                <w:kern w:val="0"/>
                <w:sz w:val="21"/>
                <w:szCs w:val="21"/>
              </w:rPr>
              <w:br w:type="textWrapping"/>
            </w:r>
            <w:r>
              <w:rPr>
                <w:rFonts w:hint="eastAsia" w:ascii="宋体" w:hAnsi="宋体" w:eastAsia="宋体" w:cs="宋体"/>
                <w:kern w:val="0"/>
                <w:sz w:val="21"/>
                <w:szCs w:val="21"/>
              </w:rPr>
              <w:t>3、股票数据类型和数据量化提取</w:t>
            </w:r>
            <w:r>
              <w:rPr>
                <w:rFonts w:hint="eastAsia" w:ascii="宋体" w:hAnsi="宋体" w:eastAsia="宋体" w:cs="宋体"/>
                <w:kern w:val="0"/>
                <w:sz w:val="21"/>
                <w:szCs w:val="21"/>
              </w:rPr>
              <w:br w:type="textWrapping"/>
            </w:r>
            <w:r>
              <w:rPr>
                <w:rFonts w:hint="eastAsia" w:ascii="宋体" w:hAnsi="宋体" w:eastAsia="宋体" w:cs="宋体"/>
                <w:kern w:val="0"/>
                <w:sz w:val="21"/>
                <w:szCs w:val="21"/>
              </w:rPr>
              <w:t>4、股票数据可视化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268" w:hRule="atLeast"/>
        </w:trPr>
        <w:tc>
          <w:tcPr>
            <w:tcW w:w="1706" w:type="pct"/>
            <w:shd w:val="clear" w:color="auto" w:fill="auto"/>
            <w:noWrap/>
            <w:vAlign w:val="center"/>
          </w:tcPr>
          <w:p>
            <w:pPr>
              <w:widowControl/>
              <w:spacing w:line="360" w:lineRule="auto"/>
              <w:jc w:val="left"/>
              <w:rPr>
                <w:rFonts w:hint="eastAsia" w:ascii="宋体" w:hAnsi="宋体" w:eastAsia="宋体" w:cs="宋体"/>
                <w:color w:val="000000"/>
                <w:kern w:val="0"/>
                <w:sz w:val="21"/>
                <w:szCs w:val="21"/>
              </w:rPr>
            </w:pPr>
            <w:r>
              <w:rPr>
                <w:rFonts w:hint="eastAsia" w:ascii="宋体" w:hAnsi="宋体" w:eastAsia="宋体" w:cs="宋体"/>
                <w:kern w:val="0"/>
                <w:sz w:val="21"/>
                <w:szCs w:val="21"/>
              </w:rPr>
              <w:t>期货量化基础</w:t>
            </w:r>
          </w:p>
        </w:tc>
        <w:tc>
          <w:tcPr>
            <w:tcW w:w="3294" w:type="pct"/>
            <w:shd w:val="clear" w:color="auto" w:fill="auto"/>
            <w:vAlign w:val="center"/>
          </w:tcPr>
          <w:p>
            <w:pPr>
              <w:widowControl/>
              <w:spacing w:line="360" w:lineRule="auto"/>
              <w:jc w:val="left"/>
              <w:rPr>
                <w:rFonts w:hint="eastAsia" w:ascii="宋体" w:hAnsi="宋体" w:eastAsia="宋体" w:cs="宋体"/>
                <w:color w:val="000000"/>
                <w:kern w:val="0"/>
                <w:sz w:val="21"/>
                <w:szCs w:val="21"/>
              </w:rPr>
            </w:pPr>
            <w:r>
              <w:rPr>
                <w:rFonts w:hint="eastAsia" w:ascii="宋体" w:hAnsi="宋体" w:eastAsia="宋体" w:cs="宋体"/>
                <w:kern w:val="0"/>
                <w:sz w:val="21"/>
                <w:szCs w:val="21"/>
              </w:rPr>
              <w:t>1、期货基础</w:t>
            </w:r>
            <w:r>
              <w:rPr>
                <w:rFonts w:hint="eastAsia" w:ascii="宋体" w:hAnsi="宋体" w:eastAsia="宋体" w:cs="宋体"/>
                <w:kern w:val="0"/>
                <w:sz w:val="21"/>
                <w:szCs w:val="21"/>
              </w:rPr>
              <w:br w:type="textWrapping"/>
            </w:r>
            <w:r>
              <w:rPr>
                <w:rFonts w:hint="eastAsia" w:ascii="宋体" w:hAnsi="宋体" w:eastAsia="宋体" w:cs="宋体"/>
                <w:kern w:val="0"/>
                <w:sz w:val="21"/>
                <w:szCs w:val="21"/>
              </w:rPr>
              <w:t>2、期货交易规则和注意点</w:t>
            </w:r>
            <w:r>
              <w:rPr>
                <w:rFonts w:hint="eastAsia" w:ascii="宋体" w:hAnsi="宋体" w:eastAsia="宋体" w:cs="宋体"/>
                <w:kern w:val="0"/>
                <w:sz w:val="21"/>
                <w:szCs w:val="21"/>
              </w:rPr>
              <w:br w:type="textWrapping"/>
            </w:r>
            <w:r>
              <w:rPr>
                <w:rFonts w:hint="eastAsia" w:ascii="宋体" w:hAnsi="宋体" w:eastAsia="宋体" w:cs="宋体"/>
                <w:kern w:val="0"/>
                <w:sz w:val="21"/>
                <w:szCs w:val="21"/>
              </w:rPr>
              <w:t>3、期货数据介绍和量化提取</w:t>
            </w:r>
            <w:r>
              <w:rPr>
                <w:rFonts w:hint="eastAsia" w:ascii="宋体" w:hAnsi="宋体" w:eastAsia="宋体" w:cs="宋体"/>
                <w:kern w:val="0"/>
                <w:sz w:val="21"/>
                <w:szCs w:val="21"/>
              </w:rPr>
              <w:br w:type="textWrapping"/>
            </w:r>
            <w:r>
              <w:rPr>
                <w:rFonts w:hint="eastAsia" w:ascii="宋体" w:hAnsi="宋体" w:eastAsia="宋体" w:cs="宋体"/>
                <w:kern w:val="0"/>
                <w:sz w:val="21"/>
                <w:szCs w:val="21"/>
              </w:rPr>
              <w:t>4、案例：期货品种年成交量和成交额分析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044" w:hRule="atLeast"/>
        </w:trPr>
        <w:tc>
          <w:tcPr>
            <w:tcW w:w="1706" w:type="pct"/>
            <w:shd w:val="clear" w:color="auto" w:fill="auto"/>
            <w:noWrap/>
            <w:vAlign w:val="center"/>
          </w:tcPr>
          <w:p>
            <w:pPr>
              <w:widowControl/>
              <w:spacing w:line="360" w:lineRule="auto"/>
              <w:jc w:val="left"/>
              <w:rPr>
                <w:rFonts w:hint="eastAsia" w:ascii="宋体" w:hAnsi="宋体" w:eastAsia="宋体" w:cs="宋体"/>
                <w:kern w:val="0"/>
                <w:sz w:val="21"/>
                <w:szCs w:val="21"/>
              </w:rPr>
            </w:pPr>
            <w:r>
              <w:rPr>
                <w:rFonts w:hint="eastAsia" w:ascii="宋体" w:hAnsi="宋体" w:eastAsia="宋体" w:cs="宋体"/>
                <w:kern w:val="0"/>
                <w:sz w:val="21"/>
                <w:szCs w:val="21"/>
              </w:rPr>
              <w:t>技术指标量化实现</w:t>
            </w:r>
          </w:p>
        </w:tc>
        <w:tc>
          <w:tcPr>
            <w:tcW w:w="3294" w:type="pct"/>
            <w:shd w:val="clear" w:color="auto" w:fill="auto"/>
            <w:vAlign w:val="center"/>
          </w:tcPr>
          <w:p>
            <w:pPr>
              <w:widowControl/>
              <w:spacing w:line="360" w:lineRule="auto"/>
              <w:jc w:val="left"/>
              <w:rPr>
                <w:rFonts w:hint="eastAsia" w:ascii="宋体" w:hAnsi="宋体" w:eastAsia="宋体" w:cs="宋体"/>
                <w:kern w:val="0"/>
                <w:sz w:val="21"/>
                <w:szCs w:val="21"/>
              </w:rPr>
            </w:pPr>
            <w:r>
              <w:rPr>
                <w:rFonts w:hint="eastAsia" w:ascii="宋体" w:hAnsi="宋体" w:eastAsia="宋体" w:cs="宋体"/>
                <w:kern w:val="0"/>
                <w:sz w:val="21"/>
                <w:szCs w:val="21"/>
              </w:rPr>
              <w:t>1、技术指标的分类和作用</w:t>
            </w:r>
            <w:r>
              <w:rPr>
                <w:rFonts w:hint="eastAsia" w:ascii="宋体" w:hAnsi="宋体" w:eastAsia="宋体" w:cs="宋体"/>
                <w:kern w:val="0"/>
                <w:sz w:val="21"/>
                <w:szCs w:val="21"/>
              </w:rPr>
              <w:br w:type="textWrapping"/>
            </w:r>
            <w:r>
              <w:rPr>
                <w:rFonts w:hint="eastAsia" w:ascii="宋体" w:hAnsi="宋体" w:eastAsia="宋体" w:cs="宋体"/>
                <w:kern w:val="0"/>
                <w:sz w:val="21"/>
                <w:szCs w:val="21"/>
              </w:rPr>
              <w:t>2、常见指标python量化实现</w:t>
            </w:r>
            <w:r>
              <w:rPr>
                <w:rFonts w:hint="eastAsia" w:ascii="宋体" w:hAnsi="宋体" w:eastAsia="宋体" w:cs="宋体"/>
                <w:kern w:val="0"/>
                <w:sz w:val="21"/>
                <w:szCs w:val="21"/>
              </w:rPr>
              <w:br w:type="textWrapping"/>
            </w:r>
            <w:r>
              <w:rPr>
                <w:rFonts w:hint="eastAsia" w:ascii="宋体" w:hAnsi="宋体" w:eastAsia="宋体" w:cs="宋体"/>
                <w:kern w:val="0"/>
                <w:sz w:val="21"/>
                <w:szCs w:val="21"/>
              </w:rPr>
              <w:t>3、常见K线形态量化实现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044" w:hRule="atLeast"/>
        </w:trPr>
        <w:tc>
          <w:tcPr>
            <w:tcW w:w="1706" w:type="pct"/>
            <w:shd w:val="clear" w:color="auto" w:fill="auto"/>
            <w:noWrap/>
            <w:vAlign w:val="center"/>
          </w:tcPr>
          <w:p>
            <w:pPr>
              <w:widowControl/>
              <w:spacing w:line="360" w:lineRule="auto"/>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策略框架</w:t>
            </w:r>
          </w:p>
        </w:tc>
        <w:tc>
          <w:tcPr>
            <w:tcW w:w="3294" w:type="pct"/>
            <w:shd w:val="clear" w:color="auto" w:fill="auto"/>
            <w:vAlign w:val="center"/>
          </w:tcPr>
          <w:p>
            <w:pPr>
              <w:widowControl/>
              <w:spacing w:line="360" w:lineRule="auto"/>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1、量化策略结构介绍</w:t>
            </w:r>
            <w:r>
              <w:rPr>
                <w:rFonts w:hint="eastAsia" w:ascii="宋体" w:hAnsi="宋体" w:eastAsia="宋体" w:cs="宋体"/>
                <w:color w:val="000000"/>
                <w:kern w:val="0"/>
                <w:sz w:val="21"/>
                <w:szCs w:val="21"/>
              </w:rPr>
              <w:br w:type="textWrapping"/>
            </w:r>
            <w:r>
              <w:rPr>
                <w:rFonts w:hint="eastAsia" w:ascii="宋体" w:hAnsi="宋体" w:eastAsia="宋体" w:cs="宋体"/>
                <w:color w:val="000000"/>
                <w:kern w:val="0"/>
                <w:sz w:val="21"/>
                <w:szCs w:val="21"/>
              </w:rPr>
              <w:t>2、量化相关API讲解</w:t>
            </w:r>
            <w:r>
              <w:rPr>
                <w:rFonts w:hint="eastAsia" w:ascii="宋体" w:hAnsi="宋体" w:eastAsia="宋体" w:cs="宋体"/>
                <w:color w:val="000000"/>
                <w:kern w:val="0"/>
                <w:sz w:val="21"/>
                <w:szCs w:val="21"/>
              </w:rPr>
              <w:br w:type="textWrapping"/>
            </w:r>
            <w:r>
              <w:rPr>
                <w:rFonts w:hint="eastAsia" w:ascii="宋体" w:hAnsi="宋体" w:eastAsia="宋体" w:cs="宋体"/>
                <w:color w:val="000000"/>
                <w:kern w:val="0"/>
                <w:sz w:val="21"/>
                <w:szCs w:val="21"/>
              </w:rPr>
              <w:t>3、双均线策略实现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044" w:hRule="atLeast"/>
        </w:trPr>
        <w:tc>
          <w:tcPr>
            <w:tcW w:w="1706" w:type="pct"/>
            <w:shd w:val="clear" w:color="auto" w:fill="auto"/>
            <w:noWrap/>
            <w:vAlign w:val="center"/>
          </w:tcPr>
          <w:p>
            <w:pPr>
              <w:widowControl/>
              <w:spacing w:line="360" w:lineRule="auto"/>
              <w:jc w:val="left"/>
              <w:rPr>
                <w:rFonts w:hint="eastAsia" w:ascii="宋体" w:hAnsi="宋体" w:eastAsia="宋体" w:cs="宋体"/>
                <w:color w:val="000000"/>
                <w:kern w:val="0"/>
                <w:sz w:val="21"/>
                <w:szCs w:val="21"/>
              </w:rPr>
            </w:pPr>
            <w:r>
              <w:rPr>
                <w:rFonts w:hint="eastAsia" w:ascii="宋体" w:hAnsi="宋体" w:eastAsia="宋体" w:cs="宋体"/>
                <w:kern w:val="0"/>
                <w:sz w:val="21"/>
                <w:szCs w:val="21"/>
              </w:rPr>
              <w:t>策略构建过程和实现</w:t>
            </w:r>
          </w:p>
        </w:tc>
        <w:tc>
          <w:tcPr>
            <w:tcW w:w="3294" w:type="pct"/>
            <w:shd w:val="clear" w:color="auto" w:fill="auto"/>
            <w:vAlign w:val="center"/>
          </w:tcPr>
          <w:p>
            <w:pPr>
              <w:widowControl/>
              <w:spacing w:line="360" w:lineRule="auto"/>
              <w:jc w:val="left"/>
              <w:rPr>
                <w:rFonts w:hint="eastAsia" w:ascii="宋体" w:hAnsi="宋体" w:eastAsia="宋体" w:cs="宋体"/>
                <w:kern w:val="0"/>
                <w:sz w:val="21"/>
                <w:szCs w:val="21"/>
              </w:rPr>
            </w:pPr>
            <w:r>
              <w:rPr>
                <w:rFonts w:hint="eastAsia" w:ascii="宋体" w:hAnsi="宋体" w:eastAsia="宋体" w:cs="宋体"/>
                <w:kern w:val="0"/>
                <w:sz w:val="21"/>
                <w:szCs w:val="21"/>
              </w:rPr>
              <w:t>1、量化策略结构介绍</w:t>
            </w:r>
            <w:r>
              <w:rPr>
                <w:rFonts w:hint="eastAsia" w:ascii="宋体" w:hAnsi="宋体" w:eastAsia="宋体" w:cs="宋体"/>
                <w:kern w:val="0"/>
                <w:sz w:val="21"/>
                <w:szCs w:val="21"/>
              </w:rPr>
              <w:br w:type="textWrapping"/>
            </w:r>
            <w:r>
              <w:rPr>
                <w:rFonts w:hint="eastAsia" w:ascii="宋体" w:hAnsi="宋体" w:eastAsia="宋体" w:cs="宋体"/>
                <w:kern w:val="0"/>
                <w:sz w:val="21"/>
                <w:szCs w:val="21"/>
              </w:rPr>
              <w:t>2、策略构建过程的步骤讲解</w:t>
            </w:r>
            <w:r>
              <w:rPr>
                <w:rFonts w:hint="eastAsia" w:ascii="宋体" w:hAnsi="宋体" w:eastAsia="宋体" w:cs="宋体"/>
                <w:kern w:val="0"/>
                <w:sz w:val="21"/>
                <w:szCs w:val="21"/>
              </w:rPr>
              <w:br w:type="textWrapping"/>
            </w:r>
            <w:r>
              <w:rPr>
                <w:rFonts w:hint="eastAsia" w:ascii="宋体" w:hAnsi="宋体" w:eastAsia="宋体" w:cs="宋体"/>
                <w:kern w:val="0"/>
                <w:sz w:val="21"/>
                <w:szCs w:val="21"/>
              </w:rPr>
              <w:t>3、boll策略构建过程实现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044" w:hRule="atLeast"/>
        </w:trPr>
        <w:tc>
          <w:tcPr>
            <w:tcW w:w="1706" w:type="pct"/>
            <w:shd w:val="clear" w:color="auto" w:fill="auto"/>
            <w:noWrap/>
            <w:vAlign w:val="center"/>
          </w:tcPr>
          <w:p>
            <w:pPr>
              <w:widowControl/>
              <w:spacing w:line="360" w:lineRule="auto"/>
              <w:jc w:val="left"/>
              <w:rPr>
                <w:rFonts w:hint="eastAsia" w:ascii="宋体" w:hAnsi="宋体" w:eastAsia="宋体" w:cs="宋体"/>
                <w:color w:val="000000"/>
                <w:kern w:val="0"/>
                <w:sz w:val="21"/>
                <w:szCs w:val="21"/>
              </w:rPr>
            </w:pPr>
            <w:r>
              <w:rPr>
                <w:rFonts w:hint="eastAsia" w:ascii="宋体" w:hAnsi="宋体" w:eastAsia="宋体" w:cs="宋体"/>
                <w:kern w:val="0"/>
                <w:sz w:val="21"/>
                <w:szCs w:val="21"/>
              </w:rPr>
              <w:t>日内趋势策略</w:t>
            </w:r>
          </w:p>
        </w:tc>
        <w:tc>
          <w:tcPr>
            <w:tcW w:w="3294" w:type="pct"/>
            <w:shd w:val="clear" w:color="auto" w:fill="auto"/>
            <w:vAlign w:val="center"/>
          </w:tcPr>
          <w:p>
            <w:pPr>
              <w:widowControl/>
              <w:spacing w:line="360" w:lineRule="auto"/>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1、趋势策略原理和优缺点</w:t>
            </w:r>
            <w:r>
              <w:rPr>
                <w:rFonts w:hint="eastAsia" w:ascii="宋体" w:hAnsi="宋体" w:eastAsia="宋体" w:cs="宋体"/>
                <w:color w:val="000000"/>
                <w:kern w:val="0"/>
                <w:sz w:val="21"/>
                <w:szCs w:val="21"/>
              </w:rPr>
              <w:br w:type="textWrapping"/>
            </w:r>
            <w:r>
              <w:rPr>
                <w:rFonts w:hint="eastAsia" w:ascii="宋体" w:hAnsi="宋体" w:eastAsia="宋体" w:cs="宋体"/>
                <w:color w:val="000000"/>
                <w:kern w:val="0"/>
                <w:sz w:val="21"/>
                <w:szCs w:val="21"/>
              </w:rPr>
              <w:t>2、Dual Thrust 策略实现</w:t>
            </w:r>
            <w:r>
              <w:rPr>
                <w:rFonts w:hint="eastAsia" w:ascii="宋体" w:hAnsi="宋体" w:eastAsia="宋体" w:cs="宋体"/>
                <w:color w:val="000000"/>
                <w:kern w:val="0"/>
                <w:sz w:val="21"/>
                <w:szCs w:val="21"/>
              </w:rPr>
              <w:br w:type="textWrapping"/>
            </w:r>
            <w:r>
              <w:rPr>
                <w:rFonts w:hint="eastAsia" w:ascii="宋体" w:hAnsi="宋体" w:eastAsia="宋体" w:cs="宋体"/>
                <w:color w:val="000000"/>
                <w:kern w:val="0"/>
                <w:sz w:val="21"/>
                <w:szCs w:val="21"/>
              </w:rPr>
              <w:t>3、R-break</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044" w:hRule="atLeast"/>
        </w:trPr>
        <w:tc>
          <w:tcPr>
            <w:tcW w:w="1706" w:type="pct"/>
            <w:shd w:val="clear" w:color="auto" w:fill="auto"/>
            <w:noWrap/>
            <w:vAlign w:val="center"/>
          </w:tcPr>
          <w:p>
            <w:pPr>
              <w:widowControl/>
              <w:spacing w:line="360" w:lineRule="auto"/>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日间趋势策略</w:t>
            </w:r>
          </w:p>
        </w:tc>
        <w:tc>
          <w:tcPr>
            <w:tcW w:w="3294" w:type="pct"/>
            <w:shd w:val="clear" w:color="auto" w:fill="auto"/>
            <w:vAlign w:val="center"/>
          </w:tcPr>
          <w:p>
            <w:pPr>
              <w:widowControl/>
              <w:spacing w:line="360" w:lineRule="auto"/>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1、通道类趋势策略</w:t>
            </w:r>
            <w:r>
              <w:rPr>
                <w:rFonts w:hint="eastAsia" w:ascii="宋体" w:hAnsi="宋体" w:eastAsia="宋体" w:cs="宋体"/>
                <w:color w:val="000000"/>
                <w:kern w:val="0"/>
                <w:sz w:val="21"/>
                <w:szCs w:val="21"/>
              </w:rPr>
              <w:br w:type="textWrapping"/>
            </w:r>
            <w:r>
              <w:rPr>
                <w:rFonts w:hint="eastAsia" w:ascii="宋体" w:hAnsi="宋体" w:eastAsia="宋体" w:cs="宋体"/>
                <w:color w:val="000000"/>
                <w:kern w:val="0"/>
                <w:sz w:val="21"/>
                <w:szCs w:val="21"/>
              </w:rPr>
              <w:t>2、布林带突破策略</w:t>
            </w:r>
            <w:r>
              <w:rPr>
                <w:rFonts w:hint="eastAsia" w:ascii="宋体" w:hAnsi="宋体" w:eastAsia="宋体" w:cs="宋体"/>
                <w:color w:val="000000"/>
                <w:kern w:val="0"/>
                <w:sz w:val="21"/>
                <w:szCs w:val="21"/>
              </w:rPr>
              <w:br w:type="textWrapping"/>
            </w:r>
            <w:r>
              <w:rPr>
                <w:rFonts w:hint="eastAsia" w:ascii="宋体" w:hAnsi="宋体" w:eastAsia="宋体" w:cs="宋体"/>
                <w:color w:val="000000"/>
                <w:kern w:val="0"/>
                <w:sz w:val="21"/>
                <w:szCs w:val="21"/>
              </w:rPr>
              <w:t>3、海龟策略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96" w:hRule="atLeast"/>
        </w:trPr>
        <w:tc>
          <w:tcPr>
            <w:tcW w:w="1706" w:type="pct"/>
            <w:shd w:val="clear" w:color="auto" w:fill="auto"/>
            <w:noWrap/>
            <w:vAlign w:val="center"/>
          </w:tcPr>
          <w:p>
            <w:pPr>
              <w:widowControl/>
              <w:spacing w:line="360" w:lineRule="auto"/>
              <w:jc w:val="left"/>
              <w:rPr>
                <w:rFonts w:hint="eastAsia" w:ascii="宋体" w:hAnsi="宋体" w:eastAsia="宋体" w:cs="宋体"/>
                <w:kern w:val="0"/>
                <w:sz w:val="21"/>
                <w:szCs w:val="21"/>
              </w:rPr>
            </w:pPr>
            <w:r>
              <w:rPr>
                <w:rFonts w:hint="eastAsia" w:ascii="宋体" w:hAnsi="宋体" w:eastAsia="宋体" w:cs="宋体"/>
                <w:kern w:val="0"/>
                <w:sz w:val="21"/>
                <w:szCs w:val="21"/>
              </w:rPr>
              <w:t>套利策略</w:t>
            </w:r>
          </w:p>
        </w:tc>
        <w:tc>
          <w:tcPr>
            <w:tcW w:w="3294" w:type="pct"/>
            <w:shd w:val="clear" w:color="auto" w:fill="auto"/>
            <w:vAlign w:val="center"/>
          </w:tcPr>
          <w:p>
            <w:pPr>
              <w:widowControl/>
              <w:spacing w:line="360" w:lineRule="auto"/>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1、协整检验</w:t>
            </w:r>
            <w:r>
              <w:rPr>
                <w:rFonts w:hint="eastAsia" w:ascii="宋体" w:hAnsi="宋体" w:eastAsia="宋体" w:cs="宋体"/>
                <w:color w:val="000000"/>
                <w:kern w:val="0"/>
                <w:sz w:val="21"/>
                <w:szCs w:val="21"/>
              </w:rPr>
              <w:br w:type="textWrapping"/>
            </w:r>
            <w:r>
              <w:rPr>
                <w:rFonts w:hint="eastAsia" w:ascii="宋体" w:hAnsi="宋体" w:eastAsia="宋体" w:cs="宋体"/>
                <w:color w:val="000000"/>
                <w:kern w:val="0"/>
                <w:sz w:val="21"/>
                <w:szCs w:val="21"/>
              </w:rPr>
              <w:t>2、股期期货套利策略实现</w:t>
            </w:r>
          </w:p>
        </w:tc>
      </w:tr>
    </w:tbl>
    <w:p>
      <w:pPr>
        <w:spacing w:line="360" w:lineRule="auto"/>
        <w:ind w:firstLine="420"/>
        <w:rPr>
          <w:rFonts w:hint="eastAsia" w:ascii="宋体" w:hAnsi="宋体" w:eastAsia="宋体" w:cs="宋体"/>
          <w:sz w:val="24"/>
          <w:szCs w:val="24"/>
        </w:rPr>
      </w:pPr>
    </w:p>
    <w:p>
      <w:pPr>
        <w:widowControl/>
        <w:spacing w:line="360" w:lineRule="auto"/>
        <w:jc w:val="left"/>
        <w:rPr>
          <w:rFonts w:hint="eastAsia" w:ascii="宋体" w:hAnsi="宋体" w:eastAsia="宋体" w:cs="宋体"/>
          <w:sz w:val="24"/>
          <w:szCs w:val="24"/>
        </w:rPr>
      </w:pPr>
      <w:r>
        <w:rPr>
          <w:rFonts w:hint="eastAsia" w:ascii="宋体" w:hAnsi="宋体" w:eastAsia="宋体" w:cs="宋体"/>
          <w:sz w:val="24"/>
          <w:szCs w:val="24"/>
        </w:rPr>
        <w:br w:type="page"/>
      </w:r>
    </w:p>
    <w:p>
      <w:pPr>
        <w:spacing w:line="360" w:lineRule="auto"/>
        <w:ind w:firstLine="420"/>
        <w:rPr>
          <w:rFonts w:hint="eastAsia" w:ascii="宋体" w:hAnsi="宋体" w:eastAsia="宋体" w:cs="宋体"/>
          <w:sz w:val="24"/>
          <w:szCs w:val="24"/>
        </w:rPr>
      </w:pPr>
      <w:r>
        <w:rPr>
          <w:rFonts w:hint="eastAsia" w:ascii="宋体" w:hAnsi="宋体" w:eastAsia="宋体" w:cs="宋体"/>
          <w:sz w:val="24"/>
          <w:szCs w:val="24"/>
        </w:rPr>
        <w:t>第二周 量化投资（人工智能）</w:t>
      </w:r>
    </w:p>
    <w:tbl>
      <w:tblPr>
        <w:tblStyle w:val="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42"/>
        <w:gridCol w:w="60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76" w:hRule="atLeast"/>
        </w:trPr>
        <w:tc>
          <w:tcPr>
            <w:tcW w:w="1433" w:type="pct"/>
            <w:shd w:val="clear" w:color="000000" w:fill="365E98"/>
            <w:noWrap/>
            <w:vAlign w:val="center"/>
          </w:tcPr>
          <w:p>
            <w:pPr>
              <w:widowControl/>
              <w:spacing w:line="360" w:lineRule="auto"/>
              <w:jc w:val="center"/>
              <w:rPr>
                <w:rFonts w:hint="eastAsia" w:ascii="宋体" w:hAnsi="宋体" w:eastAsia="宋体" w:cs="宋体"/>
                <w:b/>
                <w:bCs/>
                <w:color w:val="FFFFFF"/>
                <w:kern w:val="0"/>
                <w:sz w:val="21"/>
                <w:szCs w:val="21"/>
              </w:rPr>
            </w:pPr>
            <w:r>
              <w:rPr>
                <w:rFonts w:hint="eastAsia" w:ascii="宋体" w:hAnsi="宋体" w:eastAsia="宋体" w:cs="宋体"/>
                <w:b/>
                <w:bCs/>
                <w:color w:val="FFFFFF"/>
                <w:kern w:val="0"/>
                <w:sz w:val="21"/>
                <w:szCs w:val="21"/>
              </w:rPr>
              <w:t>一级目录</w:t>
            </w:r>
          </w:p>
        </w:tc>
        <w:tc>
          <w:tcPr>
            <w:tcW w:w="3567" w:type="pct"/>
            <w:shd w:val="clear" w:color="000000" w:fill="365E98"/>
            <w:noWrap/>
            <w:vAlign w:val="center"/>
          </w:tcPr>
          <w:p>
            <w:pPr>
              <w:widowControl/>
              <w:spacing w:line="360" w:lineRule="auto"/>
              <w:jc w:val="center"/>
              <w:rPr>
                <w:rFonts w:hint="eastAsia" w:ascii="宋体" w:hAnsi="宋体" w:eastAsia="宋体" w:cs="宋体"/>
                <w:b/>
                <w:bCs/>
                <w:color w:val="FFFFFF"/>
                <w:kern w:val="0"/>
                <w:sz w:val="21"/>
                <w:szCs w:val="21"/>
              </w:rPr>
            </w:pPr>
            <w:r>
              <w:rPr>
                <w:rFonts w:hint="eastAsia" w:ascii="宋体" w:hAnsi="宋体" w:eastAsia="宋体" w:cs="宋体"/>
                <w:b/>
                <w:bCs/>
                <w:color w:val="FFFFFF"/>
                <w:kern w:val="0"/>
                <w:sz w:val="21"/>
                <w:szCs w:val="21"/>
              </w:rPr>
              <w:t>二级目录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044" w:hRule="atLeast"/>
        </w:trPr>
        <w:tc>
          <w:tcPr>
            <w:tcW w:w="1433" w:type="pct"/>
            <w:shd w:val="clear" w:color="auto" w:fill="auto"/>
            <w:noWrap/>
            <w:vAlign w:val="center"/>
          </w:tcPr>
          <w:p>
            <w:pPr>
              <w:widowControl/>
              <w:spacing w:line="360" w:lineRule="auto"/>
              <w:jc w:val="left"/>
              <w:rPr>
                <w:rFonts w:hint="eastAsia" w:ascii="宋体" w:hAnsi="宋体" w:eastAsia="宋体" w:cs="宋体"/>
                <w:kern w:val="0"/>
                <w:sz w:val="21"/>
                <w:szCs w:val="21"/>
              </w:rPr>
            </w:pPr>
            <w:r>
              <w:rPr>
                <w:rFonts w:hint="eastAsia" w:ascii="宋体" w:hAnsi="宋体" w:eastAsia="宋体" w:cs="宋体"/>
                <w:kern w:val="0"/>
                <w:sz w:val="21"/>
                <w:szCs w:val="21"/>
              </w:rPr>
              <w:t>机器学习介绍</w:t>
            </w:r>
          </w:p>
        </w:tc>
        <w:tc>
          <w:tcPr>
            <w:tcW w:w="3567" w:type="pct"/>
            <w:shd w:val="clear" w:color="auto" w:fill="auto"/>
            <w:vAlign w:val="center"/>
          </w:tcPr>
          <w:p>
            <w:pPr>
              <w:widowControl/>
              <w:spacing w:line="360" w:lineRule="auto"/>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1、机器学习概述</w:t>
            </w:r>
            <w:r>
              <w:rPr>
                <w:rFonts w:hint="eastAsia" w:ascii="宋体" w:hAnsi="宋体" w:eastAsia="宋体" w:cs="宋体"/>
                <w:color w:val="000000"/>
                <w:kern w:val="0"/>
                <w:sz w:val="21"/>
                <w:szCs w:val="21"/>
              </w:rPr>
              <w:br w:type="textWrapping"/>
            </w:r>
            <w:r>
              <w:rPr>
                <w:rFonts w:hint="eastAsia" w:ascii="宋体" w:hAnsi="宋体" w:eastAsia="宋体" w:cs="宋体"/>
                <w:color w:val="000000"/>
                <w:kern w:val="0"/>
                <w:sz w:val="21"/>
                <w:szCs w:val="21"/>
              </w:rPr>
              <w:t>2、性能度量</w:t>
            </w:r>
            <w:r>
              <w:rPr>
                <w:rFonts w:hint="eastAsia" w:ascii="宋体" w:hAnsi="宋体" w:eastAsia="宋体" w:cs="宋体"/>
                <w:color w:val="000000"/>
                <w:kern w:val="0"/>
                <w:sz w:val="21"/>
                <w:szCs w:val="21"/>
              </w:rPr>
              <w:br w:type="textWrapping"/>
            </w:r>
            <w:r>
              <w:rPr>
                <w:rFonts w:hint="eastAsia" w:ascii="宋体" w:hAnsi="宋体" w:eastAsia="宋体" w:cs="宋体"/>
                <w:color w:val="000000"/>
                <w:kern w:val="0"/>
                <w:sz w:val="21"/>
                <w:szCs w:val="21"/>
              </w:rPr>
              <w:t>3、模型评估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044" w:hRule="atLeast"/>
        </w:trPr>
        <w:tc>
          <w:tcPr>
            <w:tcW w:w="1433" w:type="pct"/>
            <w:shd w:val="clear" w:color="auto" w:fill="auto"/>
            <w:noWrap/>
            <w:vAlign w:val="center"/>
          </w:tcPr>
          <w:p>
            <w:pPr>
              <w:widowControl/>
              <w:spacing w:line="360" w:lineRule="auto"/>
              <w:jc w:val="left"/>
              <w:rPr>
                <w:rFonts w:hint="eastAsia" w:ascii="宋体" w:hAnsi="宋体" w:eastAsia="宋体" w:cs="宋体"/>
                <w:kern w:val="0"/>
                <w:sz w:val="21"/>
                <w:szCs w:val="21"/>
              </w:rPr>
            </w:pPr>
            <w:r>
              <w:rPr>
                <w:rFonts w:hint="eastAsia" w:ascii="宋体" w:hAnsi="宋体" w:eastAsia="宋体" w:cs="宋体"/>
                <w:kern w:val="0"/>
                <w:sz w:val="21"/>
                <w:szCs w:val="21"/>
              </w:rPr>
              <w:t>分类模型（上）</w:t>
            </w:r>
          </w:p>
        </w:tc>
        <w:tc>
          <w:tcPr>
            <w:tcW w:w="3567" w:type="pct"/>
            <w:shd w:val="clear" w:color="auto" w:fill="auto"/>
            <w:vAlign w:val="center"/>
          </w:tcPr>
          <w:p>
            <w:pPr>
              <w:widowControl/>
              <w:spacing w:line="360" w:lineRule="auto"/>
              <w:jc w:val="left"/>
              <w:rPr>
                <w:rFonts w:hint="eastAsia" w:ascii="宋体" w:hAnsi="宋体" w:eastAsia="宋体" w:cs="宋体"/>
                <w:kern w:val="0"/>
                <w:sz w:val="21"/>
                <w:szCs w:val="21"/>
              </w:rPr>
            </w:pPr>
            <w:r>
              <w:rPr>
                <w:rFonts w:hint="eastAsia" w:ascii="宋体" w:hAnsi="宋体" w:eastAsia="宋体" w:cs="宋体"/>
                <w:kern w:val="0"/>
                <w:sz w:val="21"/>
                <w:szCs w:val="21"/>
              </w:rPr>
              <w:t>1、逻辑回归模型实践</w:t>
            </w:r>
            <w:r>
              <w:rPr>
                <w:rFonts w:hint="eastAsia" w:ascii="宋体" w:hAnsi="宋体" w:eastAsia="宋体" w:cs="宋体"/>
                <w:kern w:val="0"/>
                <w:sz w:val="21"/>
                <w:szCs w:val="21"/>
              </w:rPr>
              <w:br w:type="textWrapping"/>
            </w:r>
            <w:r>
              <w:rPr>
                <w:rFonts w:hint="eastAsia" w:ascii="宋体" w:hAnsi="宋体" w:eastAsia="宋体" w:cs="宋体"/>
                <w:kern w:val="0"/>
                <w:sz w:val="21"/>
                <w:szCs w:val="21"/>
              </w:rPr>
              <w:t>2、k近邻模型实践</w:t>
            </w:r>
            <w:r>
              <w:rPr>
                <w:rFonts w:hint="eastAsia" w:ascii="宋体" w:hAnsi="宋体" w:eastAsia="宋体" w:cs="宋体"/>
                <w:kern w:val="0"/>
                <w:sz w:val="21"/>
                <w:szCs w:val="21"/>
              </w:rPr>
              <w:br w:type="textWrapping"/>
            </w:r>
            <w:r>
              <w:rPr>
                <w:rFonts w:hint="eastAsia" w:ascii="宋体" w:hAnsi="宋体" w:eastAsia="宋体" w:cs="宋体"/>
                <w:kern w:val="0"/>
                <w:sz w:val="21"/>
                <w:szCs w:val="21"/>
              </w:rPr>
              <w:t>3、案例讲解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044" w:hRule="atLeast"/>
        </w:trPr>
        <w:tc>
          <w:tcPr>
            <w:tcW w:w="1433" w:type="pct"/>
            <w:shd w:val="clear" w:color="auto" w:fill="auto"/>
            <w:noWrap/>
            <w:vAlign w:val="center"/>
          </w:tcPr>
          <w:p>
            <w:pPr>
              <w:widowControl/>
              <w:spacing w:line="360" w:lineRule="auto"/>
              <w:jc w:val="left"/>
              <w:rPr>
                <w:rFonts w:hint="eastAsia" w:ascii="宋体" w:hAnsi="宋体" w:eastAsia="宋体" w:cs="宋体"/>
                <w:kern w:val="0"/>
                <w:sz w:val="21"/>
                <w:szCs w:val="21"/>
              </w:rPr>
            </w:pPr>
            <w:r>
              <w:rPr>
                <w:rFonts w:hint="eastAsia" w:ascii="宋体" w:hAnsi="宋体" w:eastAsia="宋体" w:cs="宋体"/>
                <w:kern w:val="0"/>
                <w:sz w:val="21"/>
                <w:szCs w:val="21"/>
              </w:rPr>
              <w:t>分类模型（下）</w:t>
            </w:r>
          </w:p>
        </w:tc>
        <w:tc>
          <w:tcPr>
            <w:tcW w:w="3567" w:type="pct"/>
            <w:shd w:val="clear" w:color="auto" w:fill="auto"/>
            <w:vAlign w:val="center"/>
          </w:tcPr>
          <w:p>
            <w:pPr>
              <w:widowControl/>
              <w:spacing w:line="360" w:lineRule="auto"/>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1、决策树模型实践</w:t>
            </w:r>
            <w:r>
              <w:rPr>
                <w:rFonts w:hint="eastAsia" w:ascii="宋体" w:hAnsi="宋体" w:eastAsia="宋体" w:cs="宋体"/>
                <w:color w:val="000000"/>
                <w:kern w:val="0"/>
                <w:sz w:val="21"/>
                <w:szCs w:val="21"/>
              </w:rPr>
              <w:br w:type="textWrapping"/>
            </w:r>
            <w:r>
              <w:rPr>
                <w:rFonts w:hint="eastAsia" w:ascii="宋体" w:hAnsi="宋体" w:eastAsia="宋体" w:cs="宋体"/>
                <w:color w:val="000000"/>
                <w:kern w:val="0"/>
                <w:sz w:val="21"/>
                <w:szCs w:val="21"/>
              </w:rPr>
              <w:t>2、支持向量机模型实践</w:t>
            </w:r>
            <w:r>
              <w:rPr>
                <w:rFonts w:hint="eastAsia" w:ascii="宋体" w:hAnsi="宋体" w:eastAsia="宋体" w:cs="宋体"/>
                <w:color w:val="000000"/>
                <w:kern w:val="0"/>
                <w:sz w:val="21"/>
                <w:szCs w:val="21"/>
              </w:rPr>
              <w:br w:type="textWrapping"/>
            </w:r>
            <w:r>
              <w:rPr>
                <w:rFonts w:hint="eastAsia" w:ascii="宋体" w:hAnsi="宋体" w:eastAsia="宋体" w:cs="宋体"/>
                <w:color w:val="000000"/>
                <w:kern w:val="0"/>
                <w:sz w:val="21"/>
                <w:szCs w:val="21"/>
              </w:rPr>
              <w:t>3、贝叶斯分类模型实践</w:t>
            </w:r>
          </w:p>
        </w:tc>
      </w:tr>
      <w:tr>
        <w:trPr>
          <w:trHeight w:val="1044" w:hRule="atLeast"/>
        </w:trPr>
        <w:tc>
          <w:tcPr>
            <w:tcW w:w="1433" w:type="pct"/>
            <w:shd w:val="clear" w:color="auto" w:fill="auto"/>
            <w:noWrap/>
            <w:vAlign w:val="center"/>
          </w:tcPr>
          <w:p>
            <w:pPr>
              <w:widowControl/>
              <w:spacing w:line="360" w:lineRule="auto"/>
              <w:jc w:val="left"/>
              <w:rPr>
                <w:rFonts w:hint="eastAsia" w:ascii="宋体" w:hAnsi="宋体" w:eastAsia="宋体" w:cs="宋体"/>
                <w:kern w:val="0"/>
                <w:sz w:val="21"/>
                <w:szCs w:val="21"/>
              </w:rPr>
            </w:pPr>
            <w:r>
              <w:rPr>
                <w:rFonts w:hint="eastAsia" w:ascii="宋体" w:hAnsi="宋体" w:eastAsia="宋体" w:cs="宋体"/>
                <w:kern w:val="0"/>
                <w:sz w:val="21"/>
                <w:szCs w:val="21"/>
              </w:rPr>
              <w:t>集成模型</w:t>
            </w:r>
          </w:p>
        </w:tc>
        <w:tc>
          <w:tcPr>
            <w:tcW w:w="3567" w:type="pct"/>
            <w:shd w:val="clear" w:color="auto" w:fill="auto"/>
            <w:vAlign w:val="center"/>
          </w:tcPr>
          <w:p>
            <w:pPr>
              <w:widowControl/>
              <w:spacing w:line="360" w:lineRule="auto"/>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1、RandomForest模型实践</w:t>
            </w:r>
            <w:r>
              <w:rPr>
                <w:rFonts w:hint="eastAsia" w:ascii="宋体" w:hAnsi="宋体" w:eastAsia="宋体" w:cs="宋体"/>
                <w:color w:val="000000"/>
                <w:kern w:val="0"/>
                <w:sz w:val="21"/>
                <w:szCs w:val="21"/>
              </w:rPr>
              <w:br w:type="textWrapping"/>
            </w:r>
            <w:r>
              <w:rPr>
                <w:rFonts w:hint="eastAsia" w:ascii="宋体" w:hAnsi="宋体" w:eastAsia="宋体" w:cs="宋体"/>
                <w:color w:val="000000"/>
                <w:kern w:val="0"/>
                <w:sz w:val="21"/>
                <w:szCs w:val="21"/>
              </w:rPr>
              <w:t>2、Adaboost模型实践</w:t>
            </w:r>
            <w:r>
              <w:rPr>
                <w:rFonts w:hint="eastAsia" w:ascii="宋体" w:hAnsi="宋体" w:eastAsia="宋体" w:cs="宋体"/>
                <w:color w:val="000000"/>
                <w:kern w:val="0"/>
                <w:sz w:val="21"/>
                <w:szCs w:val="21"/>
              </w:rPr>
              <w:br w:type="textWrapping"/>
            </w:r>
            <w:r>
              <w:rPr>
                <w:rFonts w:hint="eastAsia" w:ascii="宋体" w:hAnsi="宋体" w:eastAsia="宋体" w:cs="宋体"/>
                <w:color w:val="000000"/>
                <w:kern w:val="0"/>
                <w:sz w:val="21"/>
                <w:szCs w:val="21"/>
              </w:rPr>
              <w:t>3、案例讲解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392" w:hRule="atLeast"/>
        </w:trPr>
        <w:tc>
          <w:tcPr>
            <w:tcW w:w="1433" w:type="pct"/>
            <w:shd w:val="clear" w:color="auto" w:fill="auto"/>
            <w:noWrap/>
            <w:vAlign w:val="center"/>
          </w:tcPr>
          <w:p>
            <w:pPr>
              <w:widowControl/>
              <w:spacing w:line="360" w:lineRule="auto"/>
              <w:jc w:val="left"/>
              <w:rPr>
                <w:rFonts w:hint="eastAsia" w:ascii="宋体" w:hAnsi="宋体" w:eastAsia="宋体" w:cs="宋体"/>
                <w:kern w:val="0"/>
                <w:sz w:val="21"/>
                <w:szCs w:val="21"/>
              </w:rPr>
            </w:pPr>
            <w:r>
              <w:rPr>
                <w:rFonts w:hint="eastAsia" w:ascii="宋体" w:hAnsi="宋体" w:eastAsia="宋体" w:cs="宋体"/>
                <w:kern w:val="0"/>
                <w:sz w:val="21"/>
                <w:szCs w:val="21"/>
              </w:rPr>
              <w:t>因子数据处理</w:t>
            </w:r>
          </w:p>
        </w:tc>
        <w:tc>
          <w:tcPr>
            <w:tcW w:w="3567" w:type="pct"/>
            <w:shd w:val="clear" w:color="auto" w:fill="auto"/>
            <w:vAlign w:val="center"/>
          </w:tcPr>
          <w:p>
            <w:pPr>
              <w:widowControl/>
              <w:spacing w:line="360" w:lineRule="auto"/>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1、多因子选股流程</w:t>
            </w:r>
            <w:r>
              <w:rPr>
                <w:rFonts w:hint="eastAsia" w:ascii="宋体" w:hAnsi="宋体" w:eastAsia="宋体" w:cs="宋体"/>
                <w:color w:val="000000"/>
                <w:kern w:val="0"/>
                <w:sz w:val="21"/>
                <w:szCs w:val="21"/>
              </w:rPr>
              <w:br w:type="textWrapping"/>
            </w:r>
            <w:r>
              <w:rPr>
                <w:rFonts w:hint="eastAsia" w:ascii="宋体" w:hAnsi="宋体" w:eastAsia="宋体" w:cs="宋体"/>
                <w:color w:val="000000"/>
                <w:kern w:val="0"/>
                <w:sz w:val="21"/>
                <w:szCs w:val="21"/>
              </w:rPr>
              <w:t>2、因子数据分类</w:t>
            </w:r>
            <w:r>
              <w:rPr>
                <w:rFonts w:hint="eastAsia" w:ascii="宋体" w:hAnsi="宋体" w:eastAsia="宋体" w:cs="宋体"/>
                <w:color w:val="000000"/>
                <w:kern w:val="0"/>
                <w:sz w:val="21"/>
                <w:szCs w:val="21"/>
              </w:rPr>
              <w:br w:type="textWrapping"/>
            </w:r>
            <w:r>
              <w:rPr>
                <w:rFonts w:hint="eastAsia" w:ascii="宋体" w:hAnsi="宋体" w:eastAsia="宋体" w:cs="宋体"/>
                <w:color w:val="000000"/>
                <w:kern w:val="0"/>
                <w:sz w:val="21"/>
                <w:szCs w:val="21"/>
              </w:rPr>
              <w:t>3、因子数据提取</w:t>
            </w:r>
            <w:r>
              <w:rPr>
                <w:rFonts w:hint="eastAsia" w:ascii="宋体" w:hAnsi="宋体" w:eastAsia="宋体" w:cs="宋体"/>
                <w:color w:val="000000"/>
                <w:kern w:val="0"/>
                <w:sz w:val="21"/>
                <w:szCs w:val="21"/>
              </w:rPr>
              <w:br w:type="textWrapping"/>
            </w:r>
            <w:r>
              <w:rPr>
                <w:rFonts w:hint="eastAsia" w:ascii="宋体" w:hAnsi="宋体" w:eastAsia="宋体" w:cs="宋体"/>
                <w:color w:val="000000"/>
                <w:kern w:val="0"/>
                <w:sz w:val="21"/>
                <w:szCs w:val="21"/>
              </w:rPr>
              <w:t>4、因子数据预处理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59" w:hRule="atLeast"/>
        </w:trPr>
        <w:tc>
          <w:tcPr>
            <w:tcW w:w="1433" w:type="pct"/>
            <w:shd w:val="clear" w:color="auto" w:fill="auto"/>
            <w:vAlign w:val="center"/>
          </w:tcPr>
          <w:p>
            <w:pPr>
              <w:widowControl/>
              <w:spacing w:line="360" w:lineRule="auto"/>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单因子分析</w:t>
            </w:r>
          </w:p>
        </w:tc>
        <w:tc>
          <w:tcPr>
            <w:tcW w:w="3567" w:type="pct"/>
            <w:shd w:val="clear" w:color="auto" w:fill="auto"/>
            <w:vAlign w:val="center"/>
          </w:tcPr>
          <w:p>
            <w:pPr>
              <w:widowControl/>
              <w:spacing w:line="360" w:lineRule="auto"/>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1、因子有效分析</w:t>
            </w:r>
            <w:r>
              <w:rPr>
                <w:rFonts w:hint="eastAsia" w:ascii="宋体" w:hAnsi="宋体" w:eastAsia="宋体" w:cs="宋体"/>
                <w:color w:val="000000"/>
                <w:kern w:val="0"/>
                <w:sz w:val="21"/>
                <w:szCs w:val="21"/>
              </w:rPr>
              <w:br w:type="textWrapping"/>
            </w:r>
            <w:r>
              <w:rPr>
                <w:rFonts w:hint="eastAsia" w:ascii="宋体" w:hAnsi="宋体" w:eastAsia="宋体" w:cs="宋体"/>
                <w:color w:val="000000"/>
                <w:kern w:val="0"/>
                <w:sz w:val="21"/>
                <w:szCs w:val="21"/>
              </w:rPr>
              <w:t>2、单因子选股回测</w:t>
            </w:r>
            <w:r>
              <w:rPr>
                <w:rFonts w:hint="eastAsia" w:ascii="宋体" w:hAnsi="宋体" w:eastAsia="宋体" w:cs="宋体"/>
                <w:color w:val="000000"/>
                <w:kern w:val="0"/>
                <w:sz w:val="21"/>
                <w:szCs w:val="21"/>
              </w:rPr>
              <w:br w:type="textWrapping"/>
            </w:r>
            <w:r>
              <w:rPr>
                <w:rFonts w:hint="eastAsia" w:ascii="宋体" w:hAnsi="宋体" w:eastAsia="宋体" w:cs="宋体"/>
                <w:color w:val="000000"/>
                <w:kern w:val="0"/>
                <w:sz w:val="21"/>
                <w:szCs w:val="21"/>
              </w:rPr>
              <w:t>3、资本资产定价模型构建选股策略-CAPM策略及代码实现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257" w:hRule="atLeast"/>
        </w:trPr>
        <w:tc>
          <w:tcPr>
            <w:tcW w:w="1433" w:type="pct"/>
            <w:shd w:val="clear" w:color="auto" w:fill="auto"/>
            <w:vAlign w:val="center"/>
          </w:tcPr>
          <w:p>
            <w:pPr>
              <w:widowControl/>
              <w:spacing w:line="360" w:lineRule="auto"/>
              <w:jc w:val="left"/>
              <w:rPr>
                <w:rFonts w:hint="eastAsia" w:ascii="宋体" w:hAnsi="宋体" w:eastAsia="宋体" w:cs="宋体"/>
                <w:kern w:val="0"/>
                <w:sz w:val="21"/>
                <w:szCs w:val="21"/>
              </w:rPr>
            </w:pPr>
            <w:r>
              <w:rPr>
                <w:rFonts w:hint="eastAsia" w:ascii="宋体" w:hAnsi="宋体" w:eastAsia="宋体" w:cs="宋体"/>
                <w:kern w:val="0"/>
                <w:sz w:val="21"/>
                <w:szCs w:val="21"/>
              </w:rPr>
              <w:t>多因子分析</w:t>
            </w:r>
          </w:p>
        </w:tc>
        <w:tc>
          <w:tcPr>
            <w:tcW w:w="3567" w:type="pct"/>
            <w:shd w:val="clear" w:color="auto" w:fill="auto"/>
            <w:vAlign w:val="center"/>
          </w:tcPr>
          <w:p>
            <w:pPr>
              <w:widowControl/>
              <w:spacing w:line="360" w:lineRule="auto"/>
              <w:jc w:val="left"/>
              <w:rPr>
                <w:rFonts w:hint="eastAsia" w:ascii="宋体" w:hAnsi="宋体" w:eastAsia="宋体" w:cs="宋体"/>
                <w:kern w:val="0"/>
                <w:sz w:val="21"/>
                <w:szCs w:val="21"/>
              </w:rPr>
            </w:pPr>
            <w:r>
              <w:rPr>
                <w:rFonts w:hint="eastAsia" w:ascii="宋体" w:hAnsi="宋体" w:eastAsia="宋体" w:cs="宋体"/>
                <w:kern w:val="0"/>
                <w:sz w:val="21"/>
                <w:szCs w:val="21"/>
              </w:rPr>
              <w:t>1、多因子大类分析</w:t>
            </w:r>
            <w:r>
              <w:rPr>
                <w:rFonts w:hint="eastAsia" w:ascii="宋体" w:hAnsi="宋体" w:eastAsia="宋体" w:cs="宋体"/>
                <w:kern w:val="0"/>
                <w:sz w:val="21"/>
                <w:szCs w:val="21"/>
              </w:rPr>
              <w:br w:type="textWrapping"/>
            </w:r>
            <w:r>
              <w:rPr>
                <w:rFonts w:hint="eastAsia" w:ascii="宋体" w:hAnsi="宋体" w:eastAsia="宋体" w:cs="宋体"/>
                <w:kern w:val="0"/>
                <w:sz w:val="21"/>
                <w:szCs w:val="21"/>
              </w:rPr>
              <w:t>2、多因子共线性分析</w:t>
            </w:r>
            <w:r>
              <w:rPr>
                <w:rFonts w:hint="eastAsia" w:ascii="宋体" w:hAnsi="宋体" w:eastAsia="宋体" w:cs="宋体"/>
                <w:kern w:val="0"/>
                <w:sz w:val="21"/>
                <w:szCs w:val="21"/>
              </w:rPr>
              <w:br w:type="textWrapping"/>
            </w:r>
            <w:r>
              <w:rPr>
                <w:rFonts w:hint="eastAsia" w:ascii="宋体" w:hAnsi="宋体" w:eastAsia="宋体" w:cs="宋体"/>
                <w:kern w:val="0"/>
                <w:sz w:val="21"/>
                <w:szCs w:val="21"/>
              </w:rPr>
              <w:t>3、简单多因子选股回测</w:t>
            </w:r>
            <w:r>
              <w:rPr>
                <w:rFonts w:hint="eastAsia" w:ascii="宋体" w:hAnsi="宋体" w:eastAsia="宋体" w:cs="宋体"/>
                <w:kern w:val="0"/>
                <w:sz w:val="21"/>
                <w:szCs w:val="21"/>
              </w:rPr>
              <w:br w:type="textWrapping"/>
            </w:r>
            <w:r>
              <w:rPr>
                <w:rFonts w:hint="eastAsia" w:ascii="宋体" w:hAnsi="宋体" w:eastAsia="宋体" w:cs="宋体"/>
                <w:kern w:val="0"/>
                <w:sz w:val="21"/>
                <w:szCs w:val="21"/>
              </w:rPr>
              <w:t>4、多因子策略构建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17" w:hRule="atLeast"/>
        </w:trPr>
        <w:tc>
          <w:tcPr>
            <w:tcW w:w="1433" w:type="pct"/>
            <w:shd w:val="clear" w:color="auto" w:fill="auto"/>
            <w:noWrap/>
            <w:vAlign w:val="center"/>
          </w:tcPr>
          <w:p>
            <w:pPr>
              <w:widowControl/>
              <w:spacing w:line="360" w:lineRule="auto"/>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多因子模型收益与风险</w:t>
            </w:r>
          </w:p>
        </w:tc>
        <w:tc>
          <w:tcPr>
            <w:tcW w:w="3567" w:type="pct"/>
            <w:shd w:val="clear" w:color="auto" w:fill="auto"/>
            <w:vAlign w:val="center"/>
          </w:tcPr>
          <w:p>
            <w:pPr>
              <w:widowControl/>
              <w:spacing w:line="360" w:lineRule="auto"/>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1、多因子模型发展</w:t>
            </w:r>
            <w:r>
              <w:rPr>
                <w:rFonts w:hint="eastAsia" w:ascii="宋体" w:hAnsi="宋体" w:eastAsia="宋体" w:cs="宋体"/>
                <w:color w:val="000000"/>
                <w:kern w:val="0"/>
                <w:sz w:val="21"/>
                <w:szCs w:val="21"/>
              </w:rPr>
              <w:br w:type="textWrapping"/>
            </w:r>
            <w:r>
              <w:rPr>
                <w:rFonts w:hint="eastAsia" w:ascii="宋体" w:hAnsi="宋体" w:eastAsia="宋体" w:cs="宋体"/>
                <w:color w:val="000000"/>
                <w:kern w:val="0"/>
                <w:sz w:val="21"/>
                <w:szCs w:val="21"/>
              </w:rPr>
              <w:t>2、多因子模型收益预测</w:t>
            </w:r>
            <w:r>
              <w:rPr>
                <w:rFonts w:hint="eastAsia" w:ascii="宋体" w:hAnsi="宋体" w:eastAsia="宋体" w:cs="宋体"/>
                <w:color w:val="000000"/>
                <w:kern w:val="0"/>
                <w:sz w:val="21"/>
                <w:szCs w:val="21"/>
              </w:rPr>
              <w:br w:type="textWrapping"/>
            </w:r>
            <w:r>
              <w:rPr>
                <w:rFonts w:hint="eastAsia" w:ascii="宋体" w:hAnsi="宋体" w:eastAsia="宋体" w:cs="宋体"/>
                <w:color w:val="000000"/>
                <w:kern w:val="0"/>
                <w:sz w:val="21"/>
                <w:szCs w:val="21"/>
              </w:rPr>
              <w:t>3、多因子模型风险预测</w:t>
            </w:r>
            <w:r>
              <w:rPr>
                <w:rFonts w:hint="eastAsia" w:ascii="宋体" w:hAnsi="宋体" w:eastAsia="宋体" w:cs="宋体"/>
                <w:color w:val="000000"/>
                <w:kern w:val="0"/>
                <w:sz w:val="21"/>
                <w:szCs w:val="21"/>
              </w:rPr>
              <w:br w:type="textWrapping"/>
            </w:r>
            <w:r>
              <w:rPr>
                <w:rFonts w:hint="eastAsia" w:ascii="宋体" w:hAnsi="宋体" w:eastAsia="宋体" w:cs="宋体"/>
                <w:color w:val="000000"/>
                <w:kern w:val="0"/>
                <w:sz w:val="21"/>
                <w:szCs w:val="21"/>
              </w:rPr>
              <w:t>4、Fama-French三因子模型选股策略构建及实现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693" w:hRule="atLeast"/>
        </w:trPr>
        <w:tc>
          <w:tcPr>
            <w:tcW w:w="1433" w:type="pct"/>
            <w:shd w:val="clear" w:color="auto" w:fill="auto"/>
            <w:vAlign w:val="center"/>
          </w:tcPr>
          <w:p>
            <w:pPr>
              <w:widowControl/>
              <w:spacing w:line="360" w:lineRule="auto"/>
              <w:jc w:val="left"/>
              <w:rPr>
                <w:rFonts w:hint="eastAsia" w:ascii="宋体" w:hAnsi="宋体" w:eastAsia="宋体" w:cs="宋体"/>
                <w:kern w:val="0"/>
                <w:sz w:val="21"/>
                <w:szCs w:val="21"/>
              </w:rPr>
            </w:pPr>
            <w:r>
              <w:rPr>
                <w:rFonts w:hint="eastAsia" w:ascii="宋体" w:hAnsi="宋体" w:eastAsia="宋体" w:cs="宋体"/>
                <w:kern w:val="0"/>
                <w:sz w:val="21"/>
                <w:szCs w:val="21"/>
              </w:rPr>
              <w:t>基于机器学习得额上市公司高送转预测案例分析</w:t>
            </w:r>
          </w:p>
        </w:tc>
        <w:tc>
          <w:tcPr>
            <w:tcW w:w="3567" w:type="pct"/>
            <w:shd w:val="clear" w:color="auto" w:fill="auto"/>
            <w:vAlign w:val="center"/>
          </w:tcPr>
          <w:p>
            <w:pPr>
              <w:widowControl/>
              <w:spacing w:line="360" w:lineRule="auto"/>
              <w:jc w:val="left"/>
              <w:rPr>
                <w:rFonts w:hint="eastAsia" w:ascii="宋体" w:hAnsi="宋体" w:eastAsia="宋体" w:cs="宋体"/>
                <w:kern w:val="0"/>
                <w:sz w:val="21"/>
                <w:szCs w:val="21"/>
              </w:rPr>
            </w:pPr>
            <w:r>
              <w:rPr>
                <w:rFonts w:hint="eastAsia" w:ascii="宋体" w:hAnsi="宋体" w:eastAsia="宋体" w:cs="宋体"/>
                <w:kern w:val="0"/>
                <w:sz w:val="21"/>
                <w:szCs w:val="21"/>
              </w:rPr>
              <w:t>1、业务场景介绍</w:t>
            </w:r>
            <w:r>
              <w:rPr>
                <w:rFonts w:hint="eastAsia" w:ascii="宋体" w:hAnsi="宋体" w:eastAsia="宋体" w:cs="宋体"/>
                <w:kern w:val="0"/>
                <w:sz w:val="21"/>
                <w:szCs w:val="21"/>
              </w:rPr>
              <w:br w:type="textWrapping"/>
            </w:r>
            <w:r>
              <w:rPr>
                <w:rFonts w:hint="eastAsia" w:ascii="宋体" w:hAnsi="宋体" w:eastAsia="宋体" w:cs="宋体"/>
                <w:kern w:val="0"/>
                <w:sz w:val="21"/>
                <w:szCs w:val="21"/>
              </w:rPr>
              <w:t>2、数据源简介</w:t>
            </w:r>
            <w:r>
              <w:rPr>
                <w:rFonts w:hint="eastAsia" w:ascii="宋体" w:hAnsi="宋体" w:eastAsia="宋体" w:cs="宋体"/>
                <w:kern w:val="0"/>
                <w:sz w:val="21"/>
                <w:szCs w:val="21"/>
              </w:rPr>
              <w:br w:type="textWrapping"/>
            </w:r>
            <w:r>
              <w:rPr>
                <w:rFonts w:hint="eastAsia" w:ascii="宋体" w:hAnsi="宋体" w:eastAsia="宋体" w:cs="宋体"/>
                <w:kern w:val="0"/>
                <w:sz w:val="21"/>
                <w:szCs w:val="21"/>
              </w:rPr>
              <w:t>3、数据预处理</w:t>
            </w:r>
            <w:r>
              <w:rPr>
                <w:rFonts w:hint="eastAsia" w:ascii="宋体" w:hAnsi="宋体" w:eastAsia="宋体" w:cs="宋体"/>
                <w:kern w:val="0"/>
                <w:sz w:val="21"/>
                <w:szCs w:val="21"/>
              </w:rPr>
              <w:br w:type="textWrapping"/>
            </w:r>
            <w:r>
              <w:rPr>
                <w:rFonts w:hint="eastAsia" w:ascii="宋体" w:hAnsi="宋体" w:eastAsia="宋体" w:cs="宋体"/>
                <w:kern w:val="0"/>
                <w:sz w:val="21"/>
                <w:szCs w:val="21"/>
              </w:rPr>
              <w:t>4、模型选择</w:t>
            </w:r>
            <w:r>
              <w:rPr>
                <w:rFonts w:hint="eastAsia" w:ascii="宋体" w:hAnsi="宋体" w:eastAsia="宋体" w:cs="宋体"/>
                <w:kern w:val="0"/>
                <w:sz w:val="21"/>
                <w:szCs w:val="21"/>
              </w:rPr>
              <w:br w:type="textWrapping"/>
            </w:r>
            <w:r>
              <w:rPr>
                <w:rFonts w:hint="eastAsia" w:ascii="宋体" w:hAnsi="宋体" w:eastAsia="宋体" w:cs="宋体"/>
                <w:kern w:val="0"/>
                <w:sz w:val="21"/>
                <w:szCs w:val="21"/>
              </w:rPr>
              <w:t>5、参数调优</w:t>
            </w:r>
            <w:r>
              <w:rPr>
                <w:rFonts w:hint="eastAsia" w:ascii="宋体" w:hAnsi="宋体" w:eastAsia="宋体" w:cs="宋体"/>
                <w:kern w:val="0"/>
                <w:sz w:val="21"/>
                <w:szCs w:val="21"/>
              </w:rPr>
              <w:br w:type="textWrapping"/>
            </w:r>
            <w:r>
              <w:rPr>
                <w:rFonts w:hint="eastAsia" w:ascii="宋体" w:hAnsi="宋体" w:eastAsia="宋体" w:cs="宋体"/>
                <w:kern w:val="0"/>
                <w:sz w:val="21"/>
                <w:szCs w:val="21"/>
              </w:rPr>
              <w:t>6、模型评估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266" w:hRule="atLeast"/>
        </w:trPr>
        <w:tc>
          <w:tcPr>
            <w:tcW w:w="1433" w:type="pct"/>
            <w:shd w:val="clear" w:color="auto" w:fill="auto"/>
            <w:vAlign w:val="center"/>
          </w:tcPr>
          <w:p>
            <w:pPr>
              <w:widowControl/>
              <w:spacing w:line="360" w:lineRule="auto"/>
              <w:jc w:val="left"/>
              <w:rPr>
                <w:rFonts w:hint="eastAsia" w:ascii="宋体" w:hAnsi="宋体" w:eastAsia="宋体" w:cs="宋体"/>
                <w:kern w:val="0"/>
                <w:sz w:val="21"/>
                <w:szCs w:val="21"/>
              </w:rPr>
            </w:pPr>
            <w:r>
              <w:rPr>
                <w:rFonts w:hint="eastAsia" w:ascii="宋体" w:hAnsi="宋体" w:eastAsia="宋体" w:cs="宋体"/>
                <w:kern w:val="0"/>
                <w:sz w:val="21"/>
                <w:szCs w:val="21"/>
              </w:rPr>
              <w:t>基于机器学习股票多因子选股策略案例分析</w:t>
            </w:r>
          </w:p>
        </w:tc>
        <w:tc>
          <w:tcPr>
            <w:tcW w:w="3567" w:type="pct"/>
            <w:shd w:val="clear" w:color="auto" w:fill="auto"/>
            <w:vAlign w:val="center"/>
          </w:tcPr>
          <w:p>
            <w:pPr>
              <w:widowControl/>
              <w:spacing w:line="360" w:lineRule="auto"/>
              <w:jc w:val="left"/>
              <w:rPr>
                <w:rFonts w:hint="eastAsia" w:ascii="宋体" w:hAnsi="宋体" w:eastAsia="宋体" w:cs="宋体"/>
                <w:kern w:val="0"/>
                <w:sz w:val="21"/>
                <w:szCs w:val="21"/>
              </w:rPr>
            </w:pPr>
            <w:r>
              <w:rPr>
                <w:rFonts w:hint="eastAsia" w:ascii="宋体" w:hAnsi="宋体" w:eastAsia="宋体" w:cs="宋体"/>
                <w:kern w:val="0"/>
                <w:sz w:val="21"/>
                <w:szCs w:val="21"/>
              </w:rPr>
              <w:t>1、基于中证500的支持向量机模型的多因子选股策略</w:t>
            </w:r>
            <w:r>
              <w:rPr>
                <w:rFonts w:hint="eastAsia" w:ascii="宋体" w:hAnsi="宋体" w:eastAsia="宋体" w:cs="宋体"/>
                <w:kern w:val="0"/>
                <w:sz w:val="21"/>
                <w:szCs w:val="21"/>
              </w:rPr>
              <w:br w:type="textWrapping"/>
            </w:r>
            <w:r>
              <w:rPr>
                <w:rFonts w:hint="eastAsia" w:ascii="宋体" w:hAnsi="宋体" w:eastAsia="宋体" w:cs="宋体"/>
                <w:kern w:val="0"/>
                <w:sz w:val="21"/>
                <w:szCs w:val="21"/>
              </w:rPr>
              <w:t>2、基于沪深300的随机森林算法多因子选股实践</w:t>
            </w:r>
            <w:r>
              <w:rPr>
                <w:rFonts w:hint="eastAsia" w:ascii="宋体" w:hAnsi="宋体" w:eastAsia="宋体" w:cs="宋体"/>
                <w:kern w:val="0"/>
                <w:sz w:val="21"/>
                <w:szCs w:val="21"/>
              </w:rPr>
              <w:br w:type="textWrapping"/>
            </w:r>
            <w:r>
              <w:rPr>
                <w:rFonts w:hint="eastAsia" w:ascii="宋体" w:hAnsi="宋体" w:eastAsia="宋体" w:cs="宋体"/>
                <w:kern w:val="0"/>
                <w:sz w:val="21"/>
                <w:szCs w:val="21"/>
              </w:rPr>
              <w:t>3、基于上证50的Adboost算法模型的多因子选股时实践</w:t>
            </w:r>
          </w:p>
        </w:tc>
      </w:tr>
    </w:tbl>
    <w:p>
      <w:pPr>
        <w:spacing w:line="360" w:lineRule="auto"/>
        <w:rPr>
          <w:rFonts w:hint="eastAsia" w:ascii="宋体" w:hAnsi="宋体" w:eastAsia="宋体" w:cs="宋体"/>
          <w:b/>
          <w:bCs/>
          <w:sz w:val="24"/>
          <w:szCs w:val="24"/>
        </w:rPr>
      </w:pPr>
    </w:p>
    <w:p>
      <w:pPr>
        <w:spacing w:line="360" w:lineRule="auto"/>
        <w:rPr>
          <w:rFonts w:hint="eastAsia" w:ascii="宋体" w:hAnsi="宋体" w:eastAsia="宋体" w:cs="宋体"/>
          <w:b/>
          <w:bCs/>
          <w:sz w:val="24"/>
          <w:szCs w:val="24"/>
        </w:rPr>
      </w:pPr>
      <w:r>
        <w:rPr>
          <w:rFonts w:hint="default" w:ascii="宋体" w:hAnsi="宋体" w:eastAsia="宋体" w:cs="宋体"/>
          <w:b/>
          <w:bCs/>
          <w:sz w:val="24"/>
          <w:szCs w:val="24"/>
        </w:rPr>
        <w:t>2、</w:t>
      </w:r>
      <w:r>
        <w:rPr>
          <w:rFonts w:hint="eastAsia" w:ascii="宋体" w:hAnsi="宋体" w:eastAsia="宋体" w:cs="宋体"/>
          <w:b/>
          <w:bCs/>
          <w:sz w:val="24"/>
          <w:szCs w:val="24"/>
        </w:rPr>
        <w:t>考试认证</w:t>
      </w:r>
    </w:p>
    <w:p>
      <w:pPr>
        <w:spacing w:line="360" w:lineRule="auto"/>
        <w:ind w:firstLine="420"/>
        <w:rPr>
          <w:rFonts w:hint="eastAsia" w:ascii="宋体" w:hAnsi="宋体" w:eastAsia="宋体" w:cs="宋体"/>
          <w:sz w:val="24"/>
          <w:szCs w:val="24"/>
        </w:rPr>
      </w:pPr>
      <w:r>
        <w:rPr>
          <w:rFonts w:hint="eastAsia" w:ascii="宋体" w:hAnsi="宋体" w:eastAsia="宋体" w:cs="宋体"/>
          <w:sz w:val="24"/>
          <w:szCs w:val="24"/>
        </w:rPr>
        <w:t>最后特色创新班的结业考试，考试模式可以采取以下形式：</w:t>
      </w:r>
    </w:p>
    <w:p>
      <w:pPr>
        <w:spacing w:line="360" w:lineRule="auto"/>
        <w:ind w:firstLine="420"/>
        <w:rPr>
          <w:rFonts w:hint="eastAsia" w:ascii="宋体" w:hAnsi="宋体" w:eastAsia="宋体" w:cs="宋体"/>
          <w:sz w:val="24"/>
          <w:szCs w:val="24"/>
        </w:rPr>
      </w:pPr>
      <w:r>
        <w:rPr>
          <w:rFonts w:hint="eastAsia" w:ascii="宋体" w:hAnsi="宋体" w:eastAsia="宋体" w:cs="宋体"/>
          <w:sz w:val="24"/>
          <w:szCs w:val="24"/>
        </w:rPr>
        <w:t>（1）项目结业答辩：采取项目实践汇报，根据实习期间提出的项目主题，分小组进行论文答辩，通过后可以获得结业证书；</w:t>
      </w:r>
    </w:p>
    <w:p>
      <w:pPr>
        <w:spacing w:line="360" w:lineRule="auto"/>
        <w:ind w:firstLine="420"/>
        <w:rPr>
          <w:rFonts w:hint="eastAsia" w:ascii="宋体" w:hAnsi="宋体" w:eastAsia="宋体" w:cs="宋体"/>
          <w:sz w:val="24"/>
          <w:szCs w:val="24"/>
        </w:rPr>
      </w:pPr>
      <w:r>
        <w:rPr>
          <w:rFonts w:hint="eastAsia" w:ascii="宋体" w:hAnsi="宋体" w:eastAsia="宋体" w:cs="宋体"/>
          <w:sz w:val="24"/>
          <w:szCs w:val="24"/>
        </w:rPr>
        <w:t>（2）行业证书认定：获得结业证书的同学，可自主选择参加AAQF助理量化金融分析师考试（自费）。</w:t>
      </w:r>
    </w:p>
    <w:p>
      <w:pPr>
        <w:pStyle w:val="12"/>
        <w:numPr>
          <w:ilvl w:val="0"/>
          <w:numId w:val="1"/>
        </w:numPr>
        <w:spacing w:line="360" w:lineRule="auto"/>
        <w:ind w:firstLineChars="0"/>
        <w:rPr>
          <w:rFonts w:hint="eastAsia" w:ascii="宋体" w:hAnsi="宋体" w:eastAsia="宋体" w:cs="宋体"/>
          <w:sz w:val="24"/>
          <w:szCs w:val="24"/>
        </w:rPr>
      </w:pPr>
      <w:r>
        <w:rPr>
          <w:rFonts w:hint="eastAsia" w:ascii="宋体" w:hAnsi="宋体" w:eastAsia="宋体" w:cs="宋体"/>
          <w:sz w:val="24"/>
          <w:szCs w:val="24"/>
        </w:rPr>
        <w:t>AAQF助理量化金融分析师</w:t>
      </w:r>
    </w:p>
    <w:p>
      <w:pPr>
        <w:spacing w:line="360" w:lineRule="auto"/>
        <w:ind w:firstLine="420"/>
        <w:rPr>
          <w:rFonts w:hint="eastAsia" w:ascii="宋体" w:hAnsi="宋体" w:eastAsia="宋体" w:cs="宋体"/>
          <w:sz w:val="24"/>
          <w:szCs w:val="24"/>
        </w:rPr>
      </w:pPr>
      <w:r>
        <w:rPr>
          <w:rFonts w:hint="eastAsia" w:ascii="宋体" w:hAnsi="宋体" w:eastAsia="宋体" w:cs="宋体"/>
          <w:sz w:val="24"/>
          <w:szCs w:val="24"/>
        </w:rPr>
        <w:t>A</w:t>
      </w:r>
      <w:r>
        <w:rPr>
          <w:rFonts w:hint="eastAsia" w:ascii="宋体" w:hAnsi="宋体" w:eastAsia="宋体" w:cs="宋体"/>
          <w:sz w:val="24"/>
          <w:szCs w:val="24"/>
        </w:rPr>
        <w:t>AQF</w:t>
      </w:r>
      <w:r>
        <w:rPr>
          <w:rFonts w:hint="eastAsia" w:ascii="宋体" w:hAnsi="宋体" w:eastAsia="宋体" w:cs="宋体"/>
          <w:sz w:val="24"/>
          <w:szCs w:val="24"/>
        </w:rPr>
        <w:t>认证项目由全球金融专业人士协会和中国市场学会量化金融专业委员会联合认证，认证体系分为助理量化金融分析师（简称A</w:t>
      </w:r>
      <w:r>
        <w:rPr>
          <w:rFonts w:hint="eastAsia" w:ascii="宋体" w:hAnsi="宋体" w:eastAsia="宋体" w:cs="宋体"/>
          <w:sz w:val="24"/>
          <w:szCs w:val="24"/>
        </w:rPr>
        <w:t>AQF</w:t>
      </w:r>
      <w:r>
        <w:rPr>
          <w:rFonts w:hint="eastAsia" w:ascii="宋体" w:hAnsi="宋体" w:eastAsia="宋体" w:cs="宋体"/>
          <w:sz w:val="24"/>
          <w:szCs w:val="24"/>
        </w:rPr>
        <w:t>）和量化金融分析师（简称A</w:t>
      </w:r>
      <w:r>
        <w:rPr>
          <w:rFonts w:hint="eastAsia" w:ascii="宋体" w:hAnsi="宋体" w:eastAsia="宋体" w:cs="宋体"/>
          <w:sz w:val="24"/>
          <w:szCs w:val="24"/>
        </w:rPr>
        <w:t>QF</w:t>
      </w:r>
      <w:r>
        <w:rPr>
          <w:rFonts w:hint="eastAsia" w:ascii="宋体" w:hAnsi="宋体" w:eastAsia="宋体" w:cs="宋体"/>
          <w:sz w:val="24"/>
          <w:szCs w:val="24"/>
        </w:rPr>
        <w:t>），是对从事量化金融相关人士专业水平的权威鉴定。在量化投资理论、P</w:t>
      </w:r>
      <w:r>
        <w:rPr>
          <w:rFonts w:hint="eastAsia" w:ascii="宋体" w:hAnsi="宋体" w:eastAsia="宋体" w:cs="宋体"/>
          <w:sz w:val="24"/>
          <w:szCs w:val="24"/>
        </w:rPr>
        <w:t>ython</w:t>
      </w:r>
      <w:r>
        <w:rPr>
          <w:rFonts w:hint="eastAsia" w:ascii="宋体" w:hAnsi="宋体" w:eastAsia="宋体" w:cs="宋体"/>
          <w:sz w:val="24"/>
          <w:szCs w:val="24"/>
        </w:rPr>
        <w:t>数据分析、量化策略回测、量化实盘交易等方面，对当今量化金融从业人员提出专业知识与实践技能保持一致的严格评价标准。</w:t>
      </w:r>
    </w:p>
    <w:p>
      <w:pPr>
        <w:snapToGrid w:val="0"/>
        <w:spacing w:line="360" w:lineRule="auto"/>
        <w:rPr>
          <w:rFonts w:hint="eastAsia" w:ascii="宋体" w:hAnsi="宋体" w:eastAsia="宋体" w:cs="宋体"/>
          <w:b/>
          <w:bCs/>
          <w:sz w:val="24"/>
          <w:szCs w:val="24"/>
        </w:rPr>
      </w:pPr>
    </w:p>
    <w:p>
      <w:pPr>
        <w:snapToGrid w:val="0"/>
        <w:spacing w:line="360" w:lineRule="auto"/>
        <w:rPr>
          <w:rFonts w:hint="eastAsia" w:ascii="宋体" w:hAnsi="宋体" w:eastAsia="宋体" w:cs="宋体"/>
          <w:b/>
          <w:bCs/>
          <w:sz w:val="24"/>
          <w:szCs w:val="24"/>
        </w:rPr>
      </w:pPr>
      <w:r>
        <w:rPr>
          <w:rFonts w:hint="eastAsia" w:ascii="宋体" w:hAnsi="宋体" w:eastAsia="宋体" w:cs="宋体"/>
          <w:b/>
          <w:bCs/>
          <w:sz w:val="24"/>
          <w:szCs w:val="24"/>
        </w:rPr>
        <w:t>六、上课时间安排</w:t>
      </w:r>
    </w:p>
    <w:p>
      <w:pPr>
        <w:spacing w:line="360" w:lineRule="auto"/>
        <w:ind w:firstLine="420"/>
        <w:rPr>
          <w:rFonts w:hint="eastAsia" w:ascii="宋体" w:hAnsi="宋体" w:eastAsia="宋体" w:cs="宋体"/>
          <w:sz w:val="24"/>
          <w:szCs w:val="24"/>
        </w:rPr>
      </w:pPr>
      <w:r>
        <w:rPr>
          <w:rFonts w:hint="eastAsia" w:ascii="宋体" w:hAnsi="宋体" w:eastAsia="宋体" w:cs="宋体"/>
          <w:sz w:val="24"/>
          <w:szCs w:val="24"/>
        </w:rPr>
        <w:t>利用实践周、周末或者假期上课（具体上课时间</w:t>
      </w:r>
      <w:r>
        <w:rPr>
          <w:rFonts w:hint="eastAsia" w:ascii="宋体" w:hAnsi="宋体" w:eastAsia="宋体" w:cs="宋体"/>
          <w:sz w:val="24"/>
          <w:szCs w:val="24"/>
          <w:lang w:val="en-US" w:eastAsia="zh-Hans"/>
        </w:rPr>
        <w:t>另行</w:t>
      </w:r>
      <w:r>
        <w:rPr>
          <w:rFonts w:hint="eastAsia" w:ascii="宋体" w:hAnsi="宋体" w:eastAsia="宋体" w:cs="宋体"/>
          <w:sz w:val="24"/>
          <w:szCs w:val="24"/>
        </w:rPr>
        <w:t>通知）。</w:t>
      </w:r>
    </w:p>
    <w:p>
      <w:pPr>
        <w:snapToGrid w:val="0"/>
        <w:spacing w:line="360" w:lineRule="auto"/>
        <w:rPr>
          <w:rFonts w:hint="eastAsia" w:ascii="宋体" w:hAnsi="宋体" w:eastAsia="宋体" w:cs="宋体"/>
          <w:b/>
          <w:bCs/>
          <w:sz w:val="24"/>
          <w:szCs w:val="24"/>
        </w:rPr>
      </w:pPr>
    </w:p>
    <w:p>
      <w:pPr>
        <w:widowControl/>
        <w:spacing w:line="360" w:lineRule="auto"/>
        <w:jc w:val="left"/>
        <w:rPr>
          <w:rFonts w:hint="eastAsia" w:ascii="宋体" w:hAnsi="宋体" w:eastAsia="宋体" w:cs="宋体"/>
          <w:sz w:val="24"/>
          <w:szCs w:val="24"/>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00000000" w:csb1="00000000"/>
  </w:font>
  <w:font w:name="Arial">
    <w:panose1 w:val="020B0604020202020204"/>
    <w:charset w:val="01"/>
    <w:family w:val="swiss"/>
    <w:pitch w:val="default"/>
    <w:sig w:usb0="00000000" w:usb1="00000000" w:usb2="00000000" w:usb3="00000000" w:csb0="00000000" w:csb1="00000000"/>
  </w:font>
  <w:font w:name="黑体">
    <w:altName w:val="汉仪中黑KW"/>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00000000" w:usb1="00000000" w:usb2="00000000" w:usb3="00000000" w:csb0="00000000" w:csb1="0000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Helvetica Neue">
    <w:panose1 w:val="02000503000000020004"/>
    <w:charset w:val="00"/>
    <w:family w:val="auto"/>
    <w:pitch w:val="default"/>
    <w:sig w:usb0="00000000" w:usb1="00000000" w:usb2="00000000" w:usb3="00000000" w:csb0="00000000" w:csb1="00000000"/>
  </w:font>
  <w:font w:name="汉仪书宋二KW">
    <w:panose1 w:val="00020600040101010101"/>
    <w:charset w:val="86"/>
    <w:family w:val="auto"/>
    <w:pitch w:val="default"/>
    <w:sig w:usb0="00000000" w:usb1="00000000" w:usb2="00000000" w:usb3="00000000" w:csb0="00160000" w:csb1="00000000"/>
  </w:font>
  <w:font w:name="Arial">
    <w:panose1 w:val="020B0604020202020204"/>
    <w:charset w:val="00"/>
    <w:family w:val="swiss"/>
    <w:pitch w:val="default"/>
    <w:sig w:usb0="00000000" w:usb1="00000000" w:usb2="00000000" w:usb3="00000000" w:csb0="00000000" w:csb1="00000000"/>
  </w:font>
  <w:font w:name="汉仪中黑KW">
    <w:panose1 w:val="00020600040101010101"/>
    <w:charset w:val="86"/>
    <w:family w:val="auto"/>
    <w:pitch w:val="default"/>
    <w:sig w:usb0="00000000" w:usb1="00000000" w:usb2="00000000" w:usb3="00000000" w:csb0="00160000" w:csb1="00000000"/>
  </w:font>
  <w:font w:name="仿宋">
    <w:altName w:val="方正仿宋_GBK"/>
    <w:panose1 w:val="02010609060101010101"/>
    <w:charset w:val="86"/>
    <w:family w:val="modern"/>
    <w:pitch w:val="default"/>
    <w:sig w:usb0="00000000" w:usb1="00000000" w:usb2="00000016" w:usb3="00000000" w:csb0="00040001" w:csb1="00000000"/>
  </w:font>
  <w:font w:name="方正仿宋_GBK">
    <w:panose1 w:val="02000000000000000000"/>
    <w:charset w:val="86"/>
    <w:family w:val="auto"/>
    <w:pitch w:val="default"/>
    <w:sig w:usb0="00000000" w:usb1="00000000" w:usb2="00000000" w:usb3="00000000" w:csb0="00160000" w:csb1="00000000"/>
  </w:font>
  <w:font w:name="冬青黑体简体中文">
    <w:panose1 w:val="020B0300000000000000"/>
    <w:charset w:val="86"/>
    <w:family w:val="auto"/>
    <w:pitch w:val="default"/>
    <w:sig w:usb0="00000000" w:usb1="00000000" w:usb2="00000000" w:usb3="00000000" w:csb0="00160000" w:csb1="00000000"/>
  </w:font>
  <w:font w:name="Kingsoft Sign">
    <w:panose1 w:val="05050102010706020507"/>
    <w:charset w:val="00"/>
    <w:family w:val="auto"/>
    <w:pitch w:val="default"/>
    <w:sig w:usb0="00000000" w:usb1="00000000" w:usb2="00000000" w:usb3="00000000" w:csb0="00000000" w:csb1="00000000"/>
  </w:font>
  <w:font w:name="方正仿宋简体">
    <w:panose1 w:val="02000000000000000000"/>
    <w:charset w:val="86"/>
    <w:family w:val="auto"/>
    <w:pitch w:val="default"/>
    <w:sig w:usb0="00000000" w:usb1="00000000" w:usb2="00000000" w:usb3="00000000" w:csb0="0006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16050546"/>
      <w:docPartObj>
        <w:docPartGallery w:val="autotext"/>
      </w:docPartObj>
    </w:sdtPr>
    <w:sdtContent>
      <w:p>
        <w:pPr>
          <w:pStyle w:val="5"/>
          <w:jc w:val="center"/>
        </w:pPr>
        <w:r>
          <w:fldChar w:fldCharType="begin"/>
        </w:r>
        <w:r>
          <w:instrText xml:space="preserve">PAGE   \* MERGEFORMAT</w:instrText>
        </w:r>
        <w:r>
          <w:fldChar w:fldCharType="separate"/>
        </w:r>
        <w:r>
          <w:rPr>
            <w:lang w:val="zh-CN"/>
          </w:rPr>
          <w:t>1</w:t>
        </w:r>
        <w:r>
          <w:fldChar w:fldCharType="end"/>
        </w:r>
      </w:p>
    </w:sdtContent>
  </w:sdt>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2C65F64"/>
    <w:multiLevelType w:val="multilevel"/>
    <w:tmpl w:val="42C65F64"/>
    <w:lvl w:ilvl="0" w:tentative="0">
      <w:start w:val="1"/>
      <w:numFmt w:val="bullet"/>
      <w:lvlText w:val=""/>
      <w:lvlJc w:val="left"/>
      <w:pPr>
        <w:ind w:left="840" w:hanging="420"/>
      </w:pPr>
      <w:rPr>
        <w:rFonts w:hint="default" w:ascii="Wingdings" w:hAnsi="Wingdings"/>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2M2MmU2YTEwZmJjZjI4YjUzNzE0MTc3NDg3N2E4ZTcifQ=="/>
  </w:docVars>
  <w:rsids>
    <w:rsidRoot w:val="00313DC0"/>
    <w:rsid w:val="00001FF6"/>
    <w:rsid w:val="00075B48"/>
    <w:rsid w:val="000850AE"/>
    <w:rsid w:val="000F117A"/>
    <w:rsid w:val="001577E8"/>
    <w:rsid w:val="00174FA2"/>
    <w:rsid w:val="00190F9C"/>
    <w:rsid w:val="00252120"/>
    <w:rsid w:val="00261D56"/>
    <w:rsid w:val="00267779"/>
    <w:rsid w:val="002B694B"/>
    <w:rsid w:val="0030246F"/>
    <w:rsid w:val="00313DC0"/>
    <w:rsid w:val="00341C17"/>
    <w:rsid w:val="003B77F5"/>
    <w:rsid w:val="003D25CA"/>
    <w:rsid w:val="004247D2"/>
    <w:rsid w:val="004A2A6A"/>
    <w:rsid w:val="0053331F"/>
    <w:rsid w:val="00594FA4"/>
    <w:rsid w:val="00682E39"/>
    <w:rsid w:val="006B2ADA"/>
    <w:rsid w:val="0072686E"/>
    <w:rsid w:val="00736DA8"/>
    <w:rsid w:val="007C1486"/>
    <w:rsid w:val="007F490C"/>
    <w:rsid w:val="008633BC"/>
    <w:rsid w:val="008D099B"/>
    <w:rsid w:val="008D2041"/>
    <w:rsid w:val="008E3D44"/>
    <w:rsid w:val="008F7C39"/>
    <w:rsid w:val="00904925"/>
    <w:rsid w:val="00906DB9"/>
    <w:rsid w:val="00964D3E"/>
    <w:rsid w:val="009A6EE7"/>
    <w:rsid w:val="00A70566"/>
    <w:rsid w:val="00A877D7"/>
    <w:rsid w:val="00AD551F"/>
    <w:rsid w:val="00B418A3"/>
    <w:rsid w:val="00BF7639"/>
    <w:rsid w:val="00CF562F"/>
    <w:rsid w:val="00DB1CE7"/>
    <w:rsid w:val="00E1200D"/>
    <w:rsid w:val="00E22D55"/>
    <w:rsid w:val="00E85C10"/>
    <w:rsid w:val="00E91862"/>
    <w:rsid w:val="00FE1990"/>
    <w:rsid w:val="076B5857"/>
    <w:rsid w:val="27B83897"/>
    <w:rsid w:val="3EF0260F"/>
    <w:rsid w:val="5F9B13C2"/>
    <w:rsid w:val="7F0B245F"/>
    <w:rsid w:val="F0BF5E3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6"/>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15"/>
    <w:unhideWhenUsed/>
    <w:qFormat/>
    <w:uiPriority w:val="9"/>
    <w:pPr>
      <w:keepNext/>
      <w:keepLines/>
      <w:spacing w:before="260" w:after="260" w:line="413" w:lineRule="auto"/>
      <w:jc w:val="left"/>
      <w:outlineLvl w:val="1"/>
    </w:pPr>
    <w:rPr>
      <w:rFonts w:ascii="Arial" w:hAnsi="Arial" w:eastAsia="黑体"/>
      <w:b/>
      <w:sz w:val="32"/>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4">
    <w:name w:val="Body Text Indent"/>
    <w:basedOn w:val="1"/>
    <w:link w:val="13"/>
    <w:semiHidden/>
    <w:unhideWhenUsed/>
    <w:qFormat/>
    <w:uiPriority w:val="99"/>
    <w:pPr>
      <w:spacing w:after="120"/>
      <w:ind w:left="420" w:leftChars="200"/>
    </w:pPr>
  </w:style>
  <w:style w:type="paragraph" w:styleId="5">
    <w:name w:val="footer"/>
    <w:basedOn w:val="1"/>
    <w:link w:val="11"/>
    <w:unhideWhenUsed/>
    <w:qFormat/>
    <w:uiPriority w:val="99"/>
    <w:pPr>
      <w:tabs>
        <w:tab w:val="center" w:pos="4153"/>
        <w:tab w:val="right" w:pos="8306"/>
      </w:tabs>
      <w:snapToGrid w:val="0"/>
      <w:jc w:val="left"/>
    </w:pPr>
    <w:rPr>
      <w:sz w:val="18"/>
      <w:szCs w:val="18"/>
    </w:rPr>
  </w:style>
  <w:style w:type="paragraph" w:styleId="6">
    <w:name w:val="header"/>
    <w:basedOn w:val="1"/>
    <w:link w:val="10"/>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Body Text First Indent 2"/>
    <w:basedOn w:val="4"/>
    <w:link w:val="14"/>
    <w:qFormat/>
    <w:uiPriority w:val="0"/>
    <w:pPr>
      <w:spacing w:line="360" w:lineRule="auto"/>
      <w:ind w:firstLine="420" w:firstLineChars="200"/>
      <w:jc w:val="left"/>
    </w:pPr>
    <w:rPr>
      <w:rFonts w:eastAsia="宋体"/>
      <w:sz w:val="24"/>
    </w:rPr>
  </w:style>
  <w:style w:type="character" w:customStyle="1" w:styleId="10">
    <w:name w:val="页眉 Char"/>
    <w:basedOn w:val="9"/>
    <w:link w:val="6"/>
    <w:qFormat/>
    <w:uiPriority w:val="99"/>
    <w:rPr>
      <w:sz w:val="18"/>
      <w:szCs w:val="18"/>
    </w:rPr>
  </w:style>
  <w:style w:type="character" w:customStyle="1" w:styleId="11">
    <w:name w:val="页脚 Char"/>
    <w:basedOn w:val="9"/>
    <w:link w:val="5"/>
    <w:qFormat/>
    <w:uiPriority w:val="99"/>
    <w:rPr>
      <w:sz w:val="18"/>
      <w:szCs w:val="18"/>
    </w:rPr>
  </w:style>
  <w:style w:type="paragraph" w:styleId="12">
    <w:name w:val="List Paragraph"/>
    <w:basedOn w:val="1"/>
    <w:qFormat/>
    <w:uiPriority w:val="34"/>
    <w:pPr>
      <w:ind w:firstLine="420" w:firstLineChars="200"/>
    </w:pPr>
  </w:style>
  <w:style w:type="character" w:customStyle="1" w:styleId="13">
    <w:name w:val="正文文本缩进 Char"/>
    <w:basedOn w:val="9"/>
    <w:link w:val="4"/>
    <w:semiHidden/>
    <w:qFormat/>
    <w:uiPriority w:val="99"/>
  </w:style>
  <w:style w:type="character" w:customStyle="1" w:styleId="14">
    <w:name w:val="正文首行缩进 2 Char"/>
    <w:basedOn w:val="13"/>
    <w:link w:val="7"/>
    <w:qFormat/>
    <w:uiPriority w:val="0"/>
    <w:rPr>
      <w:rFonts w:eastAsia="宋体"/>
      <w:sz w:val="24"/>
    </w:rPr>
  </w:style>
  <w:style w:type="character" w:customStyle="1" w:styleId="15">
    <w:name w:val="标题 2 Char"/>
    <w:basedOn w:val="9"/>
    <w:link w:val="3"/>
    <w:qFormat/>
    <w:uiPriority w:val="9"/>
    <w:rPr>
      <w:rFonts w:ascii="Arial" w:hAnsi="Arial" w:eastAsia="黑体"/>
      <w:b/>
      <w:sz w:val="32"/>
    </w:rPr>
  </w:style>
  <w:style w:type="character" w:customStyle="1" w:styleId="16">
    <w:name w:val="标题 1 Char"/>
    <w:basedOn w:val="9"/>
    <w:link w:val="2"/>
    <w:qFormat/>
    <w:uiPriority w:val="9"/>
    <w:rPr>
      <w:b/>
      <w:bCs/>
      <w:kern w:val="44"/>
      <w:sz w:val="44"/>
      <w:szCs w:val="4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7</Pages>
  <Words>625</Words>
  <Characters>3565</Characters>
  <Lines>29</Lines>
  <Paragraphs>8</Paragraphs>
  <TotalTime>31</TotalTime>
  <ScaleCrop>false</ScaleCrop>
  <LinksUpToDate>false</LinksUpToDate>
  <CharactersWithSpaces>4182</CharactersWithSpaces>
  <Application>WPS Office_4.6.1.7467_F1E327BC-269C-435d-A152-05C5408002CA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2022-11-14T18:57:00Z</dcterms:created>
  <dc:creator>Mohan.Z</dc:creator>
  <cp:lastModifiedBy>YN</cp:lastModifiedBy>
  <dcterms:modified xsi:type="dcterms:W3CDTF">2022-11-21T10:23:24Z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2052-4.6.1.7467</vt:lpwstr>
  </property>
  <property fmtid="{D5CDD505-2E9C-101B-9397-08002B2CF9AE}" pid="3" name="ICV">
    <vt:lpwstr>90D8C92FD35EC67D1CE17A63C2FC632F</vt:lpwstr>
  </property>
</Properties>
</file>